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tbl>
      <w:tblPr>
        <w:tblW w:w="100.0%" w:type="pct"/>
        <w:tblLayout w:type="fixed"/>
        <w:tblCellMar>
          <w:top w:w="3pt" w:type="dxa"/>
          <w:start w:w="4pt" w:type="dxa"/>
          <w:bottom w:w="3pt" w:type="dxa"/>
          <w:end w:w="4pt" w:type="dxa"/>
        </w:tblCellMar>
        <w:tblLook w:firstRow="0" w:lastRow="0" w:firstColumn="0" w:lastColumn="0" w:noHBand="0" w:noVBand="0"/>
      </w:tblPr>
      <w:tblGrid>
        <w:gridCol w:w="10876"/>
      </w:tblGrid>
      <w:tr w:rsidR="002C56FB" w:rsidRPr="002C56FB">
        <w:trPr>
          <w:trHeight w:hRule="exact" w:val="3031"/>
        </w:trPr>
        <w:tc>
          <w:tcPr>
            <w:tcW w:w="535.80pt" w:type="dxa"/>
          </w:tcPr>
          <w:p w:rsidR="00000000" w:rsidRPr="002C56FB" w:rsidRDefault="002C56FB">
            <w:pPr>
              <w:pStyle w:val="ConsPlusTitlePage"/>
            </w:pPr>
          </w:p>
        </w:tc>
      </w:tr>
      <w:tr w:rsidR="002C56FB" w:rsidRPr="002C56FB">
        <w:trPr>
          <w:trHeight w:hRule="exact" w:val="8335"/>
        </w:trPr>
        <w:tc>
          <w:tcPr>
            <w:tcW w:w="535.80pt" w:type="dxa"/>
            <w:vAlign w:val="center"/>
          </w:tcPr>
          <w:p w:rsidR="00000000" w:rsidRPr="002C56FB" w:rsidRDefault="002C56FB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2C56FB">
              <w:rPr>
                <w:sz w:val="48"/>
                <w:szCs w:val="48"/>
              </w:rPr>
              <w:t>«</w:t>
            </w:r>
            <w:r w:rsidRPr="002C56FB">
              <w:rPr>
                <w:sz w:val="48"/>
                <w:szCs w:val="48"/>
              </w:rPr>
              <w:t>ГОСТ Р 56295-2014. Национальный стандарт Российской Федерации. Энергоэффективность зданий. Методика экономической оценки энергетических систем в зданиях»</w:t>
            </w:r>
            <w:r w:rsidRPr="002C56FB">
              <w:rPr>
                <w:sz w:val="48"/>
                <w:szCs w:val="48"/>
              </w:rPr>
              <w:br/>
            </w:r>
            <w:r w:rsidRPr="002C56FB">
              <w:rPr>
                <w:sz w:val="48"/>
                <w:szCs w:val="48"/>
              </w:rPr>
              <w:t>(утв. и введен в действие Приказом Росстандарта от 11.12.2014 №</w:t>
            </w:r>
            <w:r w:rsidRPr="002C56FB">
              <w:rPr>
                <w:sz w:val="48"/>
                <w:szCs w:val="48"/>
              </w:rPr>
              <w:t xml:space="preserve"> 1967-ст)</w:t>
            </w:r>
          </w:p>
        </w:tc>
      </w:tr>
      <w:tr w:rsidR="002C56FB" w:rsidRPr="002C56FB">
        <w:trPr>
          <w:trHeight w:hRule="exact" w:val="3031"/>
        </w:trPr>
        <w:tc>
          <w:tcPr>
            <w:tcW w:w="535.80pt" w:type="dxa"/>
            <w:vAlign w:val="center"/>
          </w:tcPr>
          <w:p w:rsidR="00000000" w:rsidRPr="002C56FB" w:rsidRDefault="002C56FB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2C56FB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Pr="002C56FB" w:rsidRDefault="002C56FB">
      <w:pPr>
        <w:widowControl w:val="0"/>
        <w:autoSpaceDE w:val="0"/>
        <w:autoSpaceDN w:val="0"/>
        <w:adjustRightInd w:val="0"/>
        <w:spacing w:after="0pt" w:line="12pt" w:lineRule="auto"/>
        <w:rPr>
          <w:rFonts w:ascii="Arial" w:hAnsi="Arial" w:cs="Arial"/>
          <w:sz w:val="24"/>
          <w:szCs w:val="24"/>
        </w:rPr>
        <w:sectPr w:rsidR="00000000" w:rsidRPr="002C56FB">
          <w:pgSz w:w="595.30pt" w:h="841.90pt"/>
          <w:pgMar w:top="42.05pt" w:right="29.75pt" w:bottom="42.05pt" w:left="29.75pt" w:header="0pt" w:footer="0pt" w:gutter="0pt"/>
          <w:cols w:space="36pt"/>
          <w:noEndnote/>
        </w:sectPr>
      </w:pPr>
    </w:p>
    <w:p w:rsidR="00000000" w:rsidRPr="002C56FB" w:rsidRDefault="002C56FB">
      <w:pPr>
        <w:pStyle w:val="ConsPlusNormal"/>
        <w:ind w:firstLine="27pt"/>
        <w:jc w:val="both"/>
        <w:outlineLvl w:val="0"/>
      </w:pPr>
    </w:p>
    <w:p w:rsidR="00000000" w:rsidRPr="002C56FB" w:rsidRDefault="002C56FB">
      <w:pPr>
        <w:pStyle w:val="ConsPlusNormal"/>
        <w:jc w:val="end"/>
        <w:outlineLvl w:val="0"/>
      </w:pPr>
      <w:r w:rsidRPr="002C56FB">
        <w:t>Утвержден и введен в действие</w:t>
      </w:r>
    </w:p>
    <w:p w:rsidR="00000000" w:rsidRPr="002C56FB" w:rsidRDefault="002C56FB">
      <w:pPr>
        <w:pStyle w:val="ConsPlusNormal"/>
        <w:jc w:val="end"/>
      </w:pPr>
      <w:r w:rsidRPr="002C56FB">
        <w:t>Приказом</w:t>
      </w:r>
      <w:r w:rsidRPr="002C56FB">
        <w:t xml:space="preserve"> Федерального</w:t>
      </w:r>
    </w:p>
    <w:p w:rsidR="00000000" w:rsidRPr="002C56FB" w:rsidRDefault="002C56FB">
      <w:pPr>
        <w:pStyle w:val="ConsPlusNormal"/>
        <w:jc w:val="end"/>
      </w:pPr>
      <w:r w:rsidRPr="002C56FB">
        <w:t>агентства по техническому</w:t>
      </w:r>
    </w:p>
    <w:p w:rsidR="00000000" w:rsidRPr="002C56FB" w:rsidRDefault="002C56FB">
      <w:pPr>
        <w:pStyle w:val="ConsPlusNormal"/>
        <w:jc w:val="end"/>
      </w:pPr>
      <w:r w:rsidRPr="002C56FB">
        <w:t>регулированию и метрологии</w:t>
      </w:r>
    </w:p>
    <w:p w:rsidR="00000000" w:rsidRPr="002C56FB" w:rsidRDefault="002C56FB">
      <w:pPr>
        <w:pStyle w:val="ConsPlusNormal"/>
        <w:jc w:val="end"/>
      </w:pPr>
      <w:r w:rsidRPr="002C56FB">
        <w:t>от 11 декабря 2014 г. №</w:t>
      </w:r>
      <w:r w:rsidRPr="002C56FB">
        <w:t xml:space="preserve"> 1967-ст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Title"/>
        <w:jc w:val="center"/>
      </w:pPr>
      <w:r w:rsidRPr="002C56FB">
        <w:t>НАЦИОНАЛЬНЫЙ СТАНДАРТ РОССИЙСКОЙ ФЕДЕРАЦИИ</w:t>
      </w:r>
    </w:p>
    <w:p w:rsidR="00000000" w:rsidRPr="002C56FB" w:rsidRDefault="002C56FB">
      <w:pPr>
        <w:pStyle w:val="ConsPlusTitle"/>
        <w:jc w:val="center"/>
      </w:pPr>
    </w:p>
    <w:p w:rsidR="00000000" w:rsidRPr="002C56FB" w:rsidRDefault="002C56FB">
      <w:pPr>
        <w:pStyle w:val="ConsPlusTitle"/>
        <w:jc w:val="center"/>
      </w:pPr>
      <w:r w:rsidRPr="002C56FB">
        <w:t>ЭНЕРГОЭФФЕКТИВНОСТЬ ЗДАНИЙ</w:t>
      </w:r>
    </w:p>
    <w:p w:rsidR="00000000" w:rsidRPr="002C56FB" w:rsidRDefault="002C56FB">
      <w:pPr>
        <w:pStyle w:val="ConsPlusTitle"/>
        <w:jc w:val="center"/>
      </w:pPr>
    </w:p>
    <w:p w:rsidR="00000000" w:rsidRPr="002C56FB" w:rsidRDefault="002C56FB">
      <w:pPr>
        <w:pStyle w:val="ConsPlusTitle"/>
        <w:jc w:val="center"/>
      </w:pPr>
      <w:r w:rsidRPr="002C56FB">
        <w:t>МЕТОДИКА ЭКОНОМИЧЕСКОЙ ОЦЕНКИ</w:t>
      </w:r>
    </w:p>
    <w:p w:rsidR="00000000" w:rsidRPr="002C56FB" w:rsidRDefault="002C56FB">
      <w:pPr>
        <w:pStyle w:val="ConsPlusTitle"/>
        <w:jc w:val="center"/>
      </w:pPr>
      <w:r w:rsidRPr="002C56FB">
        <w:t>ЭНЕРГЕТИЧЕСКИХ СИСТЕМ В З</w:t>
      </w:r>
      <w:r w:rsidRPr="002C56FB">
        <w:t>ДАНИЯХ</w:t>
      </w:r>
    </w:p>
    <w:p w:rsidR="00000000" w:rsidRPr="002C56FB" w:rsidRDefault="002C56FB">
      <w:pPr>
        <w:pStyle w:val="ConsPlusTitle"/>
        <w:jc w:val="center"/>
      </w:pPr>
    </w:p>
    <w:p w:rsidR="00000000" w:rsidRPr="002C56FB" w:rsidRDefault="002C56FB">
      <w:pPr>
        <w:pStyle w:val="ConsPlusTitle"/>
        <w:jc w:val="center"/>
        <w:rPr>
          <w:lang w:val="en-US"/>
        </w:rPr>
      </w:pPr>
      <w:r w:rsidRPr="002C56FB">
        <w:rPr>
          <w:lang w:val="en-US"/>
        </w:rPr>
        <w:t>E№</w:t>
      </w:r>
      <w:r w:rsidRPr="002C56FB">
        <w:rPr>
          <w:lang w:val="en-US"/>
        </w:rPr>
        <w:t>ergy performa№</w:t>
      </w:r>
      <w:r w:rsidRPr="002C56FB">
        <w:rPr>
          <w:lang w:val="en-US"/>
        </w:rPr>
        <w:t>ce of buildi№</w:t>
      </w:r>
      <w:r w:rsidRPr="002C56FB">
        <w:rPr>
          <w:lang w:val="en-US"/>
        </w:rPr>
        <w:t>gs. Eco№</w:t>
      </w:r>
      <w:r w:rsidRPr="002C56FB">
        <w:rPr>
          <w:lang w:val="en-US"/>
        </w:rPr>
        <w:t>omic evaluatio№</w:t>
      </w:r>
    </w:p>
    <w:p w:rsidR="00000000" w:rsidRPr="002C56FB" w:rsidRDefault="002C56FB">
      <w:pPr>
        <w:pStyle w:val="ConsPlusTitle"/>
        <w:jc w:val="center"/>
        <w:rPr>
          <w:lang w:val="en-US"/>
        </w:rPr>
      </w:pPr>
      <w:r w:rsidRPr="002C56FB">
        <w:rPr>
          <w:lang w:val="en-US"/>
        </w:rPr>
        <w:t>tech№</w:t>
      </w:r>
      <w:r w:rsidRPr="002C56FB">
        <w:rPr>
          <w:lang w:val="en-US"/>
        </w:rPr>
        <w:t>ique for e№</w:t>
      </w:r>
      <w:r w:rsidRPr="002C56FB">
        <w:rPr>
          <w:lang w:val="en-US"/>
        </w:rPr>
        <w:t>ergy systems i№</w:t>
      </w:r>
      <w:r w:rsidRPr="002C56FB">
        <w:rPr>
          <w:lang w:val="en-US"/>
        </w:rPr>
        <w:t xml:space="preserve"> buildi№</w:t>
      </w:r>
      <w:r w:rsidRPr="002C56FB">
        <w:rPr>
          <w:lang w:val="en-US"/>
        </w:rPr>
        <w:t>gs</w:t>
      </w:r>
    </w:p>
    <w:p w:rsidR="00000000" w:rsidRPr="002C56FB" w:rsidRDefault="002C56FB">
      <w:pPr>
        <w:pStyle w:val="ConsPlusTitle"/>
        <w:jc w:val="center"/>
        <w:rPr>
          <w:lang w:val="en-US"/>
        </w:rPr>
      </w:pPr>
    </w:p>
    <w:p w:rsidR="00000000" w:rsidRPr="002C56FB" w:rsidRDefault="002C56FB">
      <w:pPr>
        <w:pStyle w:val="ConsPlusTitle"/>
        <w:jc w:val="center"/>
      </w:pPr>
      <w:r w:rsidRPr="002C56FB">
        <w:t>E№</w:t>
      </w:r>
      <w:r w:rsidRPr="002C56FB">
        <w:t xml:space="preserve"> 15459:2007</w:t>
      </w:r>
    </w:p>
    <w:p w:rsidR="00000000" w:rsidRPr="002C56FB" w:rsidRDefault="002C56FB">
      <w:pPr>
        <w:pStyle w:val="ConsPlusTitle"/>
        <w:jc w:val="center"/>
      </w:pPr>
      <w:r w:rsidRPr="002C56FB">
        <w:t>(№</w:t>
      </w:r>
      <w:r w:rsidRPr="002C56FB">
        <w:t>EQ)</w:t>
      </w:r>
    </w:p>
    <w:p w:rsidR="00000000" w:rsidRPr="002C56FB" w:rsidRDefault="002C56FB">
      <w:pPr>
        <w:pStyle w:val="ConsPlusTitle"/>
        <w:jc w:val="center"/>
      </w:pPr>
    </w:p>
    <w:p w:rsidR="00000000" w:rsidRPr="002C56FB" w:rsidRDefault="002C56FB">
      <w:pPr>
        <w:pStyle w:val="ConsPlusTitle"/>
        <w:jc w:val="center"/>
      </w:pPr>
      <w:r w:rsidRPr="002C56FB">
        <w:t>ГОСТ Р 56295-2014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ОКС 91.040</w:t>
      </w:r>
    </w:p>
    <w:p w:rsidR="00000000" w:rsidRPr="002C56FB" w:rsidRDefault="002C56FB">
      <w:pPr>
        <w:pStyle w:val="ConsPlusNormal"/>
        <w:jc w:val="end"/>
      </w:pPr>
    </w:p>
    <w:p w:rsidR="00000000" w:rsidRPr="002C56FB" w:rsidRDefault="002C56FB">
      <w:pPr>
        <w:pStyle w:val="ConsPlusNormal"/>
        <w:jc w:val="end"/>
      </w:pPr>
      <w:r w:rsidRPr="002C56FB">
        <w:t>Дата введения</w:t>
      </w:r>
    </w:p>
    <w:p w:rsidR="00000000" w:rsidRPr="002C56FB" w:rsidRDefault="002C56FB">
      <w:pPr>
        <w:pStyle w:val="ConsPlusNormal"/>
        <w:jc w:val="end"/>
      </w:pPr>
      <w:r w:rsidRPr="002C56FB">
        <w:t>1 июля 2015 года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  <w:outlineLvl w:val="1"/>
      </w:pPr>
      <w:r w:rsidRPr="002C56FB">
        <w:t>Предисловие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1. Разработан Федеральным государственным бюдже</w:t>
      </w:r>
      <w:r w:rsidRPr="002C56FB">
        <w:t>тным образовательным учреждением высшего профессионального образования «</w:t>
      </w:r>
      <w:r w:rsidRPr="002C56FB">
        <w:t>Московский государственный строительный университет»</w:t>
      </w:r>
      <w:r w:rsidRPr="002C56FB">
        <w:t xml:space="preserve"> (ФГБОУ ВПО «</w:t>
      </w:r>
      <w:r w:rsidRPr="002C56FB">
        <w:t>МГСУ»</w:t>
      </w:r>
      <w:r w:rsidRPr="002C56FB">
        <w:t>).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 Внесен Техническим комитетом по стандартизации ТК 465 «</w:t>
      </w:r>
      <w:r w:rsidRPr="002C56FB">
        <w:t>Строительство»</w:t>
      </w:r>
      <w:r w:rsidRPr="002C56FB">
        <w:t>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3. Утвержден и введен в действие </w:t>
      </w:r>
      <w:r w:rsidRPr="002C56FB">
        <w:t>Приказом</w:t>
      </w:r>
      <w:r w:rsidRPr="002C56FB">
        <w:t xml:space="preserve"> Федерального агентства по техническому регулированию и метрологии от 11 декабря 2014 г. №</w:t>
      </w:r>
      <w:r w:rsidRPr="002C56FB">
        <w:t xml:space="preserve"> 1967-ст с 1 июля 2015 г.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4. Настоящий стандарт разработан с учетом основных нормативных положений европейского регионального стандарта ЕН 15459:2007</w:t>
      </w:r>
      <w:r w:rsidRPr="002C56FB">
        <w:t xml:space="preserve"> «</w:t>
      </w:r>
      <w:r w:rsidRPr="002C56FB">
        <w:t>Энергоэффективность зданий. Методика экономической оценки энергетических систем в зданиях»</w:t>
      </w:r>
      <w:r w:rsidRPr="002C56FB">
        <w:t xml:space="preserve"> (E№</w:t>
      </w:r>
      <w:r w:rsidRPr="002C56FB">
        <w:t xml:space="preserve"> 15459:2007 «</w:t>
      </w:r>
      <w:r w:rsidRPr="002C56FB">
        <w:t>E№</w:t>
      </w:r>
      <w:r w:rsidRPr="002C56FB">
        <w:t>ergy performa№</w:t>
      </w:r>
      <w:r w:rsidRPr="002C56FB">
        <w:t>ce of buildi№</w:t>
      </w:r>
      <w:r w:rsidRPr="002C56FB">
        <w:t>gs - Eco№</w:t>
      </w:r>
      <w:r w:rsidRPr="002C56FB">
        <w:t>omic evaluatio№</w:t>
      </w:r>
      <w:r w:rsidRPr="002C56FB">
        <w:t xml:space="preserve"> procedure for e№</w:t>
      </w:r>
      <w:r w:rsidRPr="002C56FB">
        <w:t>ergy systems i№</w:t>
      </w:r>
      <w:r w:rsidRPr="002C56FB">
        <w:t xml:space="preserve"> buildi№</w:t>
      </w:r>
      <w:r w:rsidRPr="002C56FB">
        <w:t>gs»</w:t>
      </w:r>
      <w:r w:rsidRPr="002C56FB">
        <w:t>, №</w:t>
      </w:r>
      <w:r w:rsidRPr="002C56FB">
        <w:t>EQ) в части используемой терминологии, применяем</w:t>
      </w:r>
      <w:r w:rsidRPr="002C56FB">
        <w:t>ых методов и справочных данных.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5. Введен впервые.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Правила применения настоящего стандарта установлены в ГОСТ Р 1.0-2012 </w:t>
      </w:r>
      <w:r w:rsidRPr="002C56FB">
        <w:t>(раздел 8)</w:t>
      </w:r>
      <w:r w:rsidRPr="002C56FB">
        <w:t>. Информация об изменениях к настоящему стандарту публикуется в ежегодном (по состоянию на 1 января текущего года) информационном указателе «</w:t>
      </w:r>
      <w:r w:rsidRPr="002C56FB">
        <w:t>Национальные стандарты»</w:t>
      </w:r>
      <w:r w:rsidRPr="002C56FB">
        <w:t>, а официальный текст изменений и поправок - в ежемесячном информационном у</w:t>
      </w:r>
      <w:r w:rsidRPr="002C56FB">
        <w:t>казателе «</w:t>
      </w:r>
      <w:r w:rsidRPr="002C56FB">
        <w:t>Национальные стандарты»</w:t>
      </w:r>
      <w:r w:rsidRPr="002C56FB">
        <w:t>. В случае пересмотра (замены) или отмены настоящего стандарта соответствующее уведомление будет опубликовано в ближайшем выпуске информационного указателя «</w:t>
      </w:r>
      <w:r w:rsidRPr="002C56FB">
        <w:t>Национальные стандарты»</w:t>
      </w:r>
      <w:r w:rsidRPr="002C56FB">
        <w:t>. Соответствующая информация, уведомление и</w:t>
      </w:r>
      <w:r w:rsidRPr="002C56FB">
        <w:t xml:space="preserve">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 (gost.ru).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  <w:outlineLvl w:val="1"/>
      </w:pPr>
      <w:r w:rsidRPr="002C56FB">
        <w:t>Введение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Настоящий стандарт соответствует требованиям Федеральных за</w:t>
      </w:r>
      <w:r w:rsidRPr="002C56FB">
        <w:t>конов №</w:t>
      </w:r>
      <w:r w:rsidRPr="002C56FB">
        <w:t xml:space="preserve"> 184-ФЗ</w:t>
      </w:r>
      <w:r w:rsidRPr="002C56FB">
        <w:t xml:space="preserve"> от 27 декабря 2002 г. «</w:t>
      </w:r>
      <w:r w:rsidRPr="002C56FB">
        <w:t>О техническом регулировании»</w:t>
      </w:r>
      <w:r w:rsidRPr="002C56FB">
        <w:t>, №</w:t>
      </w:r>
      <w:r w:rsidRPr="002C56FB">
        <w:t xml:space="preserve"> 261-ФЗ</w:t>
      </w:r>
      <w:r w:rsidRPr="002C56FB">
        <w:t xml:space="preserve"> от 23 ноября 2009 г. «</w:t>
      </w:r>
      <w:r w:rsidRPr="002C56FB">
        <w:t>Об эн</w:t>
      </w:r>
      <w:r w:rsidRPr="002C56FB">
        <w:t>ергосбережении и повышении энергетической эффективности и о внесении изменений в отдельные законодательные акты»</w:t>
      </w:r>
      <w:r w:rsidRPr="002C56FB">
        <w:t xml:space="preserve"> и №</w:t>
      </w:r>
      <w:r w:rsidRPr="002C56FB">
        <w:t xml:space="preserve"> 384-ФЗ</w:t>
      </w:r>
      <w:r w:rsidRPr="002C56FB">
        <w:t xml:space="preserve"> от 30 декабря 2009 г. «</w:t>
      </w:r>
      <w:r w:rsidRPr="002C56FB">
        <w:t>Технический регламент о безопасности зданий и сооружений»</w:t>
      </w:r>
      <w:r w:rsidRPr="002C56FB">
        <w:t xml:space="preserve">. Стандарт содержит </w:t>
      </w:r>
      <w:r w:rsidRPr="002C56FB">
        <w:lastRenderedPageBreak/>
        <w:t>метод</w:t>
      </w:r>
      <w:r w:rsidRPr="002C56FB">
        <w:t>ические указания и процедуры расчета технико-экономических показателей инженерных решений в области проектирования окружающей среды здания и способы оценки их абсолютной и относительной экономической эффективности. Стандарт является одним из базовых станда</w:t>
      </w:r>
      <w:r w:rsidRPr="002C56FB">
        <w:t>ртов для обоснования наиболее целесообразного с технико-экономической точки зрения варианта реализации энергосберегающих мероприятий в здании и выбора их оптимального сочетания. В стандарте использованы некоторые положения рекомендаций Р НП АВОК 5-2006 «</w:t>
      </w:r>
      <w:r w:rsidRPr="002C56FB">
        <w:t>Ре</w:t>
      </w:r>
      <w:r w:rsidRPr="002C56FB">
        <w:t>комендации по оценке экономической эффективности инвестиционного проекта теплоснабжения. Общие положения»</w:t>
      </w:r>
      <w:r w:rsidRPr="002C56FB">
        <w:t>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  <w:outlineLvl w:val="1"/>
      </w:pPr>
      <w:r w:rsidRPr="002C56FB">
        <w:t>1. Область применения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Настоящий стандарт устанавливает требования и правила расчетов экономической </w:t>
      </w:r>
      <w:r w:rsidRPr="002C56FB">
        <w:t>эффективности вариантов энергосберегающих мероприятий в зданиях и выбора наиболее целесообразного варианта реализации таких мероприятий.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Требования настоящего стандарта распространяются на жилые и общественные здания нового строительства и реконструируемые</w:t>
      </w:r>
      <w:r w:rsidRPr="002C56FB">
        <w:t>, а также на оборудование систем обеспечения микроклимата в данных зданиях.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  <w:outlineLvl w:val="1"/>
      </w:pPr>
      <w:r w:rsidRPr="002C56FB">
        <w:t>2. Термины и определения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В настоящем стандарте приняты следующие термины с соответствующими определениями: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2.1. Дисконтирование: приведение всех будущих доходов и затрат к момент</w:t>
      </w:r>
      <w:r w:rsidRPr="002C56FB">
        <w:t>у начала или конца расчетного срока.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2.2. Норма дисконта: норма, используемая при дисконтировании доходов и затрат и учитывающая наличие банковского процента, показатель инфляции и риски инвестиций.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2.3. Капитальные затраты: единовременные затраты на созда</w:t>
      </w:r>
      <w:r w:rsidRPr="002C56FB">
        <w:t>ние новых, расширение и реконструкцию действующих основных фондов (машин, зданий, оборудования, инженерных систем и т.п.) и производственных мощностей. Эти затраты включают в себя расходы на проектирование, приобретение материалов, систем и их компонентов,</w:t>
      </w:r>
      <w:r w:rsidRPr="002C56FB">
        <w:t xml:space="preserve"> подключение к источникам энергоресурсов, монтаж, установку, наладку и введение в эксплуатацию.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2.4. Показатель инфляции: годовое обесценение валюты, выражаемое в процентах (как правило, по покупательной способности или по отношению к другой валюте).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2.5. </w:t>
      </w:r>
      <w:r w:rsidRPr="002C56FB">
        <w:t>Продолжительность расчетов: период времени, в течение которого проводятся расчеты совокупных дисконтированных затрат, начиная от момента введения объекта в эксплуатацию.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2.6. Расчетный срок: промежуток времени с момента ввода здания в эксплуатацию до момен</w:t>
      </w:r>
      <w:r w:rsidRPr="002C56FB">
        <w:t>та, для которого определяется конкретное значение совокупных дисконтированных затрат.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2.7. Совокупные дисконтированные затраты; СДЗ: показатель, учитывающий прирост капитальных затрат и эксплуатационных издержек в течение расчетного срока с учетом нормы ди</w:t>
      </w:r>
      <w:r w:rsidRPr="002C56FB">
        <w:t>сконта.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2.8. Срок окупаемости: продолжительность периода от введения объекта в эксплуатацию до момента, когда возникает превышение экономии эксплуатационных издержек над дополнительными капитальными затратами.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Примечание. Срок окупаемости может быть бездис</w:t>
      </w:r>
      <w:r w:rsidRPr="002C56FB">
        <w:t>контным и дисконтированным.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2.9. Эксплуатационные расходы (издержки): стоимостное выражение всех ресурсов, используемых для функционирования здания и (или) его инженерных систем в течение определенного промежутка времени (например, за год).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  <w:outlineLvl w:val="1"/>
      </w:pPr>
      <w:r w:rsidRPr="002C56FB">
        <w:t>3. Основные н</w:t>
      </w:r>
      <w:r w:rsidRPr="002C56FB">
        <w:t>ормативные положения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  <w:outlineLvl w:val="2"/>
      </w:pPr>
      <w:r w:rsidRPr="002C56FB">
        <w:t>3.1. Общие положения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Технико-экономическое обоснование (ТЭО) может быть осуществлено на стадии предпроектных проработок или на стадии «</w:t>
      </w:r>
      <w:r w:rsidRPr="002C56FB">
        <w:t>Проект»</w:t>
      </w:r>
      <w:r w:rsidRPr="002C56FB">
        <w:t xml:space="preserve"> при установлении уровня теплозащитных показателей ограждающих </w:t>
      </w:r>
      <w:r w:rsidRPr="002C56FB">
        <w:lastRenderedPageBreak/>
        <w:t>конструкций здания и разработ</w:t>
      </w:r>
      <w:r w:rsidRPr="002C56FB">
        <w:t>ке энергосберегающих мероприятий для обслуживающих здание инженерных систем. При этом учитывают затраты тепловой и электрической энергии и воды на обеспечение жизнедеятельности здания: отопление, вентиляцию и кондиционирование воздуха, холодное водоснабжен</w:t>
      </w:r>
      <w:r w:rsidRPr="002C56FB">
        <w:t>ие и горячее водоснабжение (ГВС), электроосвещение, работу электробытовых приборов и оргтехники, мусороудаление. Технологических потребителей энергии допускается принимать во внимание в качестве источников теплопоступлений в здание. Результаты ТЭО использу</w:t>
      </w:r>
      <w:r w:rsidRPr="002C56FB">
        <w:t>ют для выбора целесообразного варианта проектного решения.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Технико-экономическое сравнение вариантов проектных решений рекомендуется вести по значению СДЗ, связанных с дополнительными капиталовложениями и уровнем годовых эксплуатационных издержек с учетом </w:t>
      </w:r>
      <w:r w:rsidRPr="002C56FB">
        <w:t>изменений цен и тарифов на энергоносители, а также рисков капиталовложений. Критерием экономической целесообразности является превышение годовой экономии расходов на тепловую и электрическую энергию, полученной за счет применения комплекса энергосберегающи</w:t>
      </w:r>
      <w:r w:rsidRPr="002C56FB">
        <w:t>х мероприятий, над годовым процентом за кредит, взятый для осуществления капиталовложений в энергосберегающие мероприятия. Если капиталовложения осуществляются из собственных средств инвестора, критерием является превышение годовой экономии над упущенной п</w:t>
      </w:r>
      <w:r w:rsidRPr="002C56FB">
        <w:t>рибылью, которую можно было бы получить, если вместо затрат на энергосбережение соответствующую сумму разместить на банковском депозите.</w:t>
      </w:r>
    </w:p>
    <w:p w:rsidR="00000000" w:rsidRPr="002C56FB" w:rsidRDefault="002C56FB">
      <w:pPr>
        <w:pStyle w:val="ConsPlusNormal"/>
        <w:spacing w:before="10pt"/>
        <w:ind w:firstLine="27pt"/>
        <w:jc w:val="both"/>
        <w:outlineLvl w:val="2"/>
      </w:pPr>
      <w:r w:rsidRPr="002C56FB">
        <w:t>3.2. Сущность методики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3.2.1. Критерии выбора комплекса инженерных решений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Выбор комплекса инженерных решений по обеспечению жизнедеятельности здания осуществляется на основе ТЭО по результатам оценки теплозащиты и энергопотребления здания в соответствии с </w:t>
      </w:r>
      <w:r w:rsidRPr="002C56FB">
        <w:t>СП 50.13330</w:t>
      </w:r>
      <w:r w:rsidRPr="002C56FB">
        <w:t xml:space="preserve"> &lt;*&gt;, а именно - с учетом годового теплопотребления системами отопления, вентиляции и (или) кондиционирования воздуха и ГВС, а также годового электропотребления системами электроснабжения и уровня теплозащиты наружных ограждающих конструкци</w:t>
      </w:r>
      <w:r w:rsidRPr="002C56FB">
        <w:t>й при известных характеристиках теплоизоляционного материала и заполнений световых проемов.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--------------------------------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&lt;*&gt; </w:t>
      </w:r>
      <w:r w:rsidRPr="002C56FB">
        <w:t>СП 50.13330.2012</w:t>
      </w:r>
      <w:r w:rsidRPr="002C56FB">
        <w:t xml:space="preserve"> «</w:t>
      </w:r>
      <w:r w:rsidRPr="002C56FB">
        <w:t>СНиП 23-02-2003. Тепловая защи</w:t>
      </w:r>
      <w:r w:rsidRPr="002C56FB">
        <w:t>та зданий»</w:t>
      </w:r>
      <w:r w:rsidRPr="002C56FB">
        <w:t>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bookmarkStart w:id="0" w:name="Par72"/>
      <w:bookmarkEnd w:id="0"/>
      <w:r w:rsidRPr="002C56FB">
        <w:t>3.2.2. Расчет с дисконтированием промежуточных доходов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Если промежуточные доходы, образовавшиеся вследствие снижения годовых эксплуатационных издержек в результате применения энергосберегающих мероприятий, участвуют в обороте денежны</w:t>
      </w:r>
      <w:r w:rsidRPr="002C56FB">
        <w:t>х средств (тратятся на зарплату, погашение кредитов и т.д.), величину СДЗ, руб., приведенную к концу расчетного срока T, лет, для каждого варианта рассчитывают по формуле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1" w:name="Par75"/>
      <w:bookmarkEnd w:id="1"/>
      <w:r w:rsidRPr="002C56FB">
        <w:rPr>
          <w:noProof/>
          <w:position w:val="-15"/>
        </w:rPr>
        <w:drawing>
          <wp:inline distT="0" distB="0" distL="0" distR="0">
            <wp:extent cx="3476625" cy="323850"/>
            <wp:effectExtent l="0" t="0" r="0" b="0"/>
            <wp:docPr id="2" name="Рисунок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 (1)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где </w:t>
      </w:r>
      <w:r w:rsidRPr="002C56FB">
        <w:rPr>
          <w:noProof/>
          <w:position w:val="-9"/>
        </w:rPr>
        <w:drawing>
          <wp:inline distT="0" distB="0" distL="0" distR="0">
            <wp:extent cx="323850" cy="247650"/>
            <wp:effectExtent l="0" t="0" r="0" b="0"/>
            <wp:docPr id="3" name="Рисунок 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- суммарные дополнительные капитальные затраты на осуществление принятого комплекса энергосберегающих мероприятий, руб.;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Э - суммарные годовые эксплуатационные издержки, руб./год, в ценах на момент начала эксплуатации здания;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p - норма дисконта, %,</w:t>
      </w:r>
      <w:r w:rsidRPr="002C56FB">
        <w:t xml:space="preserve"> принимаемая в размере не менее действующей ставки рефинансирования ЦБ РФ.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В частности, при отсутствии таких мероприятий допускается принять </w:t>
      </w:r>
      <w:r w:rsidRPr="002C56FB">
        <w:rPr>
          <w:noProof/>
          <w:position w:val="-9"/>
        </w:rPr>
        <w:drawing>
          <wp:inline distT="0" distB="0" distL="0" distR="0">
            <wp:extent cx="552450" cy="247650"/>
            <wp:effectExtent l="0" t="0" r="0" b="0"/>
            <wp:docPr id="4" name="Рисунок 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. Некоторые данные для оценки капитальных затрат на системы отопления, вентиляц</w:t>
      </w:r>
      <w:r w:rsidRPr="002C56FB">
        <w:t xml:space="preserve">ии и кондиционирования воздуха приведены в </w:t>
      </w:r>
      <w:r w:rsidRPr="002C56FB">
        <w:t>Приложении А</w:t>
      </w:r>
      <w:r w:rsidRPr="002C56FB">
        <w:t xml:space="preserve">, а на устройство дополнительной теплоизоляции и замену остекления - в </w:t>
      </w:r>
      <w:r w:rsidRPr="002C56FB">
        <w:t>Приложении В</w:t>
      </w:r>
      <w:r w:rsidRPr="002C56FB">
        <w:t>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Для окончательно принимаемого варианта значение СДЗ должно быть наименьшим.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Если известно, что значения суммарных годовых эксплуатационных издержек Э для разных лет в </w:t>
      </w:r>
      <w:r w:rsidRPr="002C56FB">
        <w:lastRenderedPageBreak/>
        <w:t>течение предполагаемого срока эксплуатации здания, выраже</w:t>
      </w:r>
      <w:r w:rsidRPr="002C56FB">
        <w:t>нные в ценах на момент начала эксплуатации здания, могут не совпадать, для расчета СДЗ следует использовать формулу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2" w:name="Par84"/>
      <w:bookmarkEnd w:id="2"/>
      <w:r w:rsidRPr="002C56FB">
        <w:rPr>
          <w:noProof/>
          <w:position w:val="-24"/>
        </w:rPr>
        <w:drawing>
          <wp:inline distT="0" distB="0" distL="0" distR="0">
            <wp:extent cx="2819400" cy="438150"/>
            <wp:effectExtent l="0" t="0" r="0" b="0"/>
            <wp:docPr id="5" name="Рисунок 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 (2)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где Э</w:t>
      </w:r>
      <w:r w:rsidRPr="002C56FB">
        <w:rPr>
          <w:vertAlign w:val="subscript"/>
        </w:rPr>
        <w:t>i</w:t>
      </w:r>
      <w:r w:rsidRPr="002C56FB">
        <w:t xml:space="preserve"> - величина Э для i-го года с момента начала эксплуатации здания; </w:t>
      </w:r>
      <w:r w:rsidRPr="002C56FB">
        <w:rPr>
          <w:noProof/>
          <w:position w:val="-9"/>
        </w:rPr>
        <w:drawing>
          <wp:inline distT="0" distB="0" distL="0" distR="0">
            <wp:extent cx="323850" cy="247650"/>
            <wp:effectExtent l="0" t="0" r="0" b="0"/>
            <wp:docPr id="6" name="Рисунок 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p, Э и T - см. </w:t>
      </w:r>
      <w:r w:rsidRPr="002C56FB">
        <w:t>формулу (1)</w:t>
      </w:r>
      <w:r w:rsidRPr="002C56FB">
        <w:t>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Максимальный дисконтированный срок окупаемости T</w:t>
      </w:r>
      <w:r w:rsidRPr="002C56FB">
        <w:rPr>
          <w:vertAlign w:val="subscript"/>
        </w:rPr>
        <w:t>max</w:t>
      </w:r>
      <w:r w:rsidRPr="002C56FB">
        <w:t xml:space="preserve"> принятого комплекса устанавливается по согласованию с заказчиком, но не более 5 лет. Фактический дисконтированный срок о</w:t>
      </w:r>
      <w:r w:rsidRPr="002C56FB">
        <w:t>купаемости вычисляют по формуле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3" w:name="Par89"/>
      <w:bookmarkEnd w:id="3"/>
      <w:r w:rsidRPr="002C56FB">
        <w:rPr>
          <w:noProof/>
          <w:position w:val="-27"/>
        </w:rPr>
        <w:drawing>
          <wp:inline distT="0" distB="0" distL="0" distR="0">
            <wp:extent cx="1485900" cy="476250"/>
            <wp:effectExtent l="0" t="0" r="0" b="0"/>
            <wp:docPr id="7" name="Рисунок 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 (3)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где T</w:t>
      </w:r>
      <w:r w:rsidRPr="002C56FB">
        <w:rPr>
          <w:vertAlign w:val="subscript"/>
        </w:rPr>
        <w:t>0</w:t>
      </w:r>
      <w:r w:rsidRPr="002C56FB">
        <w:t xml:space="preserve"> - бездисконтный срок окупаемости, лет: </w:t>
      </w:r>
      <w:r w:rsidRPr="002C56FB">
        <w:rPr>
          <w:noProof/>
          <w:position w:val="-9"/>
        </w:rPr>
        <w:drawing>
          <wp:inline distT="0" distB="0" distL="0" distR="0">
            <wp:extent cx="914400" cy="247650"/>
            <wp:effectExtent l="0" t="0" r="0" b="0"/>
            <wp:docPr id="8" name="Рисунок 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Здесь </w:t>
      </w:r>
      <w:r w:rsidRPr="002C56FB">
        <w:rPr>
          <w:noProof/>
          <w:position w:val="-3"/>
        </w:rPr>
        <w:drawing>
          <wp:inline distT="0" distB="0" distL="0" distR="0">
            <wp:extent cx="247650" cy="171450"/>
            <wp:effectExtent l="0" t="0" r="0" b="0"/>
            <wp:docPr id="9" name="Рисунок 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- снижение годовых эксплуатационных расходов Э на тепловую и электрическую энергию за счет энергосбережения, руб./год, вычисляемое по формуле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4" w:name="Par94"/>
      <w:bookmarkEnd w:id="4"/>
      <w:r w:rsidRPr="002C56FB">
        <w:rPr>
          <w:noProof/>
          <w:position w:val="-9"/>
        </w:rPr>
        <w:drawing>
          <wp:inline distT="0" distB="0" distL="0" distR="0">
            <wp:extent cx="895350" cy="247650"/>
            <wp:effectExtent l="0" t="0" r="0" b="0"/>
            <wp:docPr id="10" name="Рисунок 1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. (4)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t>Здесь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14"/>
        </w:rPr>
        <w:drawing>
          <wp:inline distT="0" distB="0" distL="0" distR="0">
            <wp:extent cx="3171825" cy="304800"/>
            <wp:effectExtent l="0" t="0" r="0" b="0"/>
            <wp:docPr id="11" name="Рисунок 1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. (4а)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Индексы I и II обозначают Э, </w:t>
      </w:r>
      <w:r w:rsidRPr="002C56FB">
        <w:rPr>
          <w:noProof/>
          <w:position w:val="-9"/>
        </w:rPr>
        <w:drawing>
          <wp:inline distT="0" distB="0" distL="0" distR="0">
            <wp:extent cx="247650" cy="247650"/>
            <wp:effectExtent l="0" t="0" r="0" b="0"/>
            <wp:docPr id="12" name="Рисунок 1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</w:t>
      </w:r>
      <w:r w:rsidRPr="002C56FB">
        <w:rPr>
          <w:noProof/>
          <w:position w:val="-9"/>
        </w:rPr>
        <w:drawing>
          <wp:inline distT="0" distB="0" distL="0" distR="0">
            <wp:extent cx="457200" cy="247650"/>
            <wp:effectExtent l="0" t="0" r="0" b="0"/>
            <wp:docPr id="13" name="Рисунок 1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</w:t>
      </w:r>
      <w:r w:rsidRPr="002C56FB">
        <w:rPr>
          <w:noProof/>
          <w:position w:val="-9"/>
        </w:rPr>
        <w:drawing>
          <wp:inline distT="0" distB="0" distL="0" distR="0">
            <wp:extent cx="228600" cy="247650"/>
            <wp:effectExtent l="0" t="0" r="0" b="0"/>
            <wp:docPr id="14" name="Рисунок 1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и E, определенные соответственно по варианта</w:t>
      </w:r>
      <w:r w:rsidRPr="002C56FB">
        <w:t>м I и II устройства здания и его инженерных систем по результатам оценки энергопотребления здания. В варианте I энергосберегающие мероприятия не предусматриваются; вариант II предусматривает наличие таких мероприятий;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rPr>
          <w:noProof/>
          <w:position w:val="-9"/>
        </w:rPr>
        <w:drawing>
          <wp:inline distT="0" distB="0" distL="0" distR="0">
            <wp:extent cx="247650" cy="247650"/>
            <wp:effectExtent l="0" t="0" r="0" b="0"/>
            <wp:docPr id="15" name="Рисунок 1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</w:t>
      </w:r>
      <w:r w:rsidRPr="002C56FB">
        <w:rPr>
          <w:noProof/>
          <w:position w:val="-9"/>
        </w:rPr>
        <w:drawing>
          <wp:inline distT="0" distB="0" distL="0" distR="0">
            <wp:extent cx="457200" cy="247650"/>
            <wp:effectExtent l="0" t="0" r="0" b="0"/>
            <wp:docPr id="16" name="Рисунок 1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</w:t>
      </w:r>
      <w:r w:rsidRPr="002C56FB">
        <w:rPr>
          <w:noProof/>
          <w:position w:val="-9"/>
        </w:rPr>
        <w:drawing>
          <wp:inline distT="0" distB="0" distL="0" distR="0">
            <wp:extent cx="228600" cy="247650"/>
            <wp:effectExtent l="0" t="0" r="0" b="0"/>
            <wp:docPr id="17" name="Рисунок 1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- годовое теплопотребление систем отопления, вентиляции и кондиционирования воздуха соответственно и ГВС, МВт·ч/г;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E - годовое электропотребление систем электроснабжения здания, в то</w:t>
      </w:r>
      <w:r w:rsidRPr="002C56FB">
        <w:t>м числе для освещения, электробытовых приборов и оргтехники, а также приводов инженерных систем здания и его технологического оборудования, МВт·ч/г;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0,86 = 3,6/4,19 - коэффициент пересчета из МВт·ч в Гкал;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C</w:t>
      </w:r>
      <w:r w:rsidRPr="002C56FB">
        <w:rPr>
          <w:vertAlign w:val="subscript"/>
        </w:rPr>
        <w:t>тепл</w:t>
      </w:r>
      <w:r w:rsidRPr="002C56FB">
        <w:t xml:space="preserve"> - действующий тариф на тепловую энергию, руб</w:t>
      </w:r>
      <w:r w:rsidRPr="002C56FB">
        <w:t>./Гкал;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C</w:t>
      </w:r>
      <w:r w:rsidRPr="002C56FB">
        <w:rPr>
          <w:vertAlign w:val="subscript"/>
        </w:rPr>
        <w:t>эл</w:t>
      </w:r>
      <w:r w:rsidRPr="002C56FB">
        <w:t xml:space="preserve"> - то же на электрическую энергию, руб./(кВт·ч).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Примечание. При установке в здании автономных источников теплоты, использующих газовое топливо, условную величину C</w:t>
      </w:r>
      <w:r w:rsidRPr="002C56FB">
        <w:rPr>
          <w:vertAlign w:val="subscript"/>
        </w:rPr>
        <w:t>тепл</w:t>
      </w:r>
      <w:r w:rsidRPr="002C56FB">
        <w:t xml:space="preserve"> рассчитывают следующим образом: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12"/>
        </w:rPr>
        <w:drawing>
          <wp:inline distT="0" distB="0" distL="0" distR="0">
            <wp:extent cx="1476375" cy="285750"/>
            <wp:effectExtent l="0" t="0" r="0" b="0"/>
            <wp:docPr id="18" name="Рисунок 1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где </w:t>
      </w:r>
      <w:r w:rsidRPr="002C56FB">
        <w:t>C</w:t>
      </w:r>
      <w:r w:rsidRPr="002C56FB">
        <w:rPr>
          <w:vertAlign w:val="subscript"/>
        </w:rPr>
        <w:t>газ</w:t>
      </w:r>
      <w:r w:rsidRPr="002C56FB">
        <w:t xml:space="preserve"> - действующий тариф на газ, руб./нм</w:t>
      </w:r>
      <w:r w:rsidRPr="002C56FB">
        <w:rPr>
          <w:vertAlign w:val="superscript"/>
        </w:rPr>
        <w:t>3</w:t>
      </w:r>
      <w:r w:rsidRPr="002C56FB">
        <w:t>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rPr>
          <w:noProof/>
          <w:position w:val="-9"/>
        </w:rPr>
        <w:drawing>
          <wp:inline distT="0" distB="0" distL="0" distR="0">
            <wp:extent cx="285750" cy="247650"/>
            <wp:effectExtent l="0" t="0" r="0" b="0"/>
            <wp:docPr id="19" name="Рисунок 1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- низшая удельная теплота сгорания применяемого газового топлива в расчете на рабочую </w:t>
      </w:r>
      <w:r w:rsidRPr="002C56FB">
        <w:lastRenderedPageBreak/>
        <w:t>массу, МДж/нм</w:t>
      </w:r>
      <w:r w:rsidRPr="002C56FB">
        <w:rPr>
          <w:vertAlign w:val="superscript"/>
        </w:rPr>
        <w:t>3</w:t>
      </w:r>
      <w:r w:rsidRPr="002C56FB">
        <w:t>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rPr>
          <w:noProof/>
          <w:position w:val="-8"/>
        </w:rPr>
        <w:drawing>
          <wp:inline distT="0" distB="0" distL="0" distR="0">
            <wp:extent cx="285750" cy="228600"/>
            <wp:effectExtent l="0" t="0" r="0" b="0"/>
            <wp:docPr id="20" name="Рисунок 2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- коэффициент полезного действия (КПД)</w:t>
      </w:r>
      <w:r w:rsidRPr="002C56FB">
        <w:t xml:space="preserve"> автономных источников теплоты, обслуживающих здание.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На стадии «</w:t>
      </w:r>
      <w:r w:rsidRPr="002C56FB">
        <w:t>Проект»</w:t>
      </w:r>
      <w:r w:rsidRPr="002C56FB">
        <w:t xml:space="preserve"> значения </w:t>
      </w:r>
      <w:r w:rsidRPr="002C56FB">
        <w:rPr>
          <w:noProof/>
          <w:position w:val="-9"/>
        </w:rPr>
        <w:drawing>
          <wp:inline distT="0" distB="0" distL="0" distR="0">
            <wp:extent cx="247650" cy="247650"/>
            <wp:effectExtent l="0" t="0" r="0" b="0"/>
            <wp:docPr id="21" name="Рисунок 2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</w:t>
      </w:r>
      <w:r w:rsidRPr="002C56FB">
        <w:rPr>
          <w:noProof/>
          <w:position w:val="-9"/>
        </w:rPr>
        <w:drawing>
          <wp:inline distT="0" distB="0" distL="0" distR="0">
            <wp:extent cx="457200" cy="247650"/>
            <wp:effectExtent l="0" t="0" r="0" b="0"/>
            <wp:docPr id="22" name="Рисунок 2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</w:t>
      </w:r>
      <w:r w:rsidRPr="002C56FB">
        <w:rPr>
          <w:noProof/>
          <w:position w:val="-9"/>
        </w:rPr>
        <w:drawing>
          <wp:inline distT="0" distB="0" distL="0" distR="0">
            <wp:extent cx="228600" cy="247650"/>
            <wp:effectExtent l="0" t="0" r="0" b="0"/>
            <wp:docPr id="23" name="Рисунок 2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и E вычисляют с использованием проектной мощности соответств</w:t>
      </w:r>
      <w:r w:rsidRPr="002C56FB">
        <w:t xml:space="preserve">ующих систем; на стадии предпроектных проработок - с учетом результатов оценки энергопотребления и теплозащиты здания по </w:t>
      </w:r>
      <w:r w:rsidRPr="002C56FB">
        <w:t>СП 50.13330</w:t>
      </w:r>
      <w:r w:rsidRPr="002C56FB">
        <w:t xml:space="preserve"> </w:t>
      </w:r>
      <w:r w:rsidRPr="002C56FB">
        <w:t>&lt;*&gt;</w:t>
      </w:r>
      <w:r w:rsidRPr="002C56FB">
        <w:t>: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31"/>
        </w:rPr>
        <w:drawing>
          <wp:inline distT="0" distB="0" distL="0" distR="0">
            <wp:extent cx="1952625" cy="523875"/>
            <wp:effectExtent l="0" t="0" r="0" b="0"/>
            <wp:docPr id="24" name="Рисунок 2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(5)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где k</w:t>
      </w:r>
      <w:r w:rsidRPr="002C56FB">
        <w:rPr>
          <w:vertAlign w:val="subscript"/>
        </w:rPr>
        <w:t>об</w:t>
      </w:r>
      <w:r w:rsidRPr="002C56FB">
        <w:t xml:space="preserve"> и k</w:t>
      </w:r>
      <w:r w:rsidRPr="002C56FB">
        <w:rPr>
          <w:vertAlign w:val="subscript"/>
        </w:rPr>
        <w:t>вент</w:t>
      </w:r>
      <w:r w:rsidRPr="002C56FB">
        <w:t xml:space="preserve"> - удельная теплозащитная и удельная вентиляционная характеристики здания, Вт/(м</w:t>
      </w:r>
      <w:r w:rsidRPr="002C56FB">
        <w:rPr>
          <w:vertAlign w:val="superscript"/>
        </w:rPr>
        <w:t>3</w:t>
      </w:r>
      <w:r w:rsidRPr="002C56FB">
        <w:t>·К), определенные по I и II вариантам соответственно;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V</w:t>
      </w:r>
      <w:r w:rsidRPr="002C56FB">
        <w:rPr>
          <w:vertAlign w:val="subscript"/>
        </w:rPr>
        <w:t>от</w:t>
      </w:r>
      <w:r w:rsidRPr="002C56FB">
        <w:t xml:space="preserve"> - отапливаемый объем здания, м</w:t>
      </w:r>
      <w:r w:rsidRPr="002C56FB">
        <w:rPr>
          <w:vertAlign w:val="superscript"/>
        </w:rPr>
        <w:t>3</w:t>
      </w:r>
      <w:r w:rsidRPr="002C56FB">
        <w:t>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ГСОП - градусо-сутки отопительного периода, К·сут;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24 - число часов в сутках.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--------------------------------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bookmarkStart w:id="5" w:name="Par123"/>
      <w:bookmarkEnd w:id="5"/>
      <w:r w:rsidRPr="002C56FB">
        <w:t xml:space="preserve">&lt;*&gt; </w:t>
      </w:r>
      <w:r w:rsidRPr="002C56FB">
        <w:t>СП 50.13330.2012</w:t>
      </w:r>
      <w:r w:rsidRPr="002C56FB">
        <w:t xml:space="preserve"> «</w:t>
      </w:r>
      <w:r w:rsidRPr="002C56FB">
        <w:t>СНиП 23-02-2003. Тепловая защита зданий»</w:t>
      </w:r>
      <w:r w:rsidRPr="002C56FB">
        <w:t>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Если вычисляют срок окупаемости мероприятий, касающихся инженерных систем, энергопотребление которых не является круглогодичным (например, системы механич</w:t>
      </w:r>
      <w:r w:rsidRPr="002C56FB">
        <w:t>еской вентиляции и кондиционирования воздуха), целесообразно округлять расчетную величину T</w:t>
      </w:r>
      <w:r w:rsidRPr="002C56FB">
        <w:rPr>
          <w:vertAlign w:val="subscript"/>
        </w:rPr>
        <w:t>ок</w:t>
      </w:r>
      <w:r w:rsidRPr="002C56FB">
        <w:t xml:space="preserve"> до ближайшего </w:t>
      </w:r>
      <w:r w:rsidRPr="002C56FB">
        <w:rPr>
          <w:noProof/>
          <w:position w:val="-2"/>
        </w:rPr>
        <w:drawing>
          <wp:inline distT="0" distB="0" distL="0" distR="0">
            <wp:extent cx="561975" cy="161925"/>
            <wp:effectExtent l="0" t="0" r="0" b="0"/>
            <wp:docPr id="25" name="Рисунок 2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целого значения.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При более детальных расчетах в </w:t>
      </w:r>
      <w:r w:rsidRPr="002C56FB">
        <w:t>формуле (4)</w:t>
      </w:r>
      <w:r w:rsidRPr="002C56FB">
        <w:t xml:space="preserve"> следует учитывать т</w:t>
      </w:r>
      <w:r w:rsidRPr="002C56FB">
        <w:t xml:space="preserve">акже отчисления на годовое профилактическое техническое обслуживание применяемого оборудования, включая расходы на эксплуатацию, ремонт и обслуживание (с учетом выплат персоналу). Эти отчисления принимают в зависимости от соответствующей величины К по </w:t>
      </w:r>
      <w:r w:rsidRPr="002C56FB">
        <w:t>Приложению Б</w:t>
      </w:r>
      <w:r w:rsidRPr="002C56FB">
        <w:t>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Решение считается экономически обоснованным при выполнении условия T</w:t>
      </w:r>
      <w:r w:rsidRPr="002C56FB">
        <w:rPr>
          <w:vertAlign w:val="subscript"/>
        </w:rPr>
        <w:t>ок</w:t>
      </w:r>
      <w:r w:rsidRPr="002C56FB">
        <w:t xml:space="preserve"> &lt;= T</w:t>
      </w:r>
      <w:r w:rsidRPr="002C56FB">
        <w:rPr>
          <w:vertAlign w:val="subscript"/>
        </w:rPr>
        <w:t>max</w:t>
      </w:r>
      <w:r w:rsidRPr="002C56FB">
        <w:t xml:space="preserve">. Для получения наглядной иллюстрации результатов ТЭО рекомендуется построить графики СДЗ в зависимости </w:t>
      </w:r>
      <w:r w:rsidRPr="002C56FB">
        <w:t>от T для сравниваемых вариантов. В этом случае значение T в точке пересечения графиков (при ее наличии) дает приближенную величину T</w:t>
      </w:r>
      <w:r w:rsidRPr="002C56FB">
        <w:rPr>
          <w:vertAlign w:val="subscript"/>
        </w:rPr>
        <w:t>ок</w:t>
      </w:r>
      <w:r w:rsidRPr="002C56FB">
        <w:t xml:space="preserve"> (см. </w:t>
      </w:r>
      <w:r w:rsidRPr="002C56FB">
        <w:t>Приложение В</w:t>
      </w:r>
      <w:r w:rsidRPr="002C56FB">
        <w:t>).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3.2.3. Вариант с нараще</w:t>
      </w:r>
      <w:r w:rsidRPr="002C56FB">
        <w:t>нием (капитализацией) промежуточных доходов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Если промежуточные доходы, образовавшиеся вследствие снижения годовых эксплуатационных издержек в результате применения энергосберегающих мероприятий, капитализируются, т.е. соответствующие суммы размещаются на б</w:t>
      </w:r>
      <w:r w:rsidRPr="002C56FB">
        <w:t>анковском депозите под процент, значения СДЗ целесообразнее приводить к моменту ввода здания в эксплуатацию T = 0. Тогда величину СДЗ для каждого варианта рассчитывают по формуле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6" w:name="Par131"/>
      <w:bookmarkEnd w:id="6"/>
      <w:r w:rsidRPr="002C56FB">
        <w:rPr>
          <w:noProof/>
          <w:position w:val="-15"/>
        </w:rPr>
        <w:drawing>
          <wp:inline distT="0" distB="0" distL="0" distR="0">
            <wp:extent cx="2676525" cy="323850"/>
            <wp:effectExtent l="0" t="0" r="0" b="0"/>
            <wp:docPr id="26" name="Рисунок 2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 (6)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где </w:t>
      </w:r>
      <w:r w:rsidRPr="002C56FB">
        <w:rPr>
          <w:noProof/>
          <w:position w:val="-9"/>
        </w:rPr>
        <w:drawing>
          <wp:inline distT="0" distB="0" distL="0" distR="0">
            <wp:extent cx="323850" cy="247650"/>
            <wp:effectExtent l="0" t="0" r="0" b="0"/>
            <wp:docPr id="27" name="Рисунок 2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Э и p - см. </w:t>
      </w:r>
      <w:r w:rsidRPr="002C56FB">
        <w:t>формулу (1)</w:t>
      </w:r>
      <w:r w:rsidRPr="002C56FB">
        <w:t>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Если известно, что значения Э для разных лет в течение предполагаемого срока эксплуатации здания, выраженные в ценах на момент начала эксплуатации здания, могут не совпадать, для </w:t>
      </w:r>
      <w:r w:rsidRPr="002C56FB">
        <w:t>расчета СДЗ используют формулу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24"/>
        </w:rPr>
        <w:lastRenderedPageBreak/>
        <w:drawing>
          <wp:inline distT="0" distB="0" distL="0" distR="0">
            <wp:extent cx="1990725" cy="438150"/>
            <wp:effectExtent l="0" t="0" r="0" b="0"/>
            <wp:docPr id="28" name="Рисунок 2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 (7)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где Э</w:t>
      </w:r>
      <w:r w:rsidRPr="002C56FB">
        <w:rPr>
          <w:vertAlign w:val="subscript"/>
        </w:rPr>
        <w:t>i</w:t>
      </w:r>
      <w:r w:rsidRPr="002C56FB">
        <w:t xml:space="preserve"> - см. </w:t>
      </w:r>
      <w:r w:rsidRPr="002C56FB">
        <w:t>формулу (2)</w:t>
      </w:r>
      <w:r w:rsidRPr="002C56FB">
        <w:t>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rPr>
          <w:noProof/>
          <w:position w:val="-9"/>
        </w:rPr>
        <w:drawing>
          <wp:inline distT="0" distB="0" distL="0" distR="0">
            <wp:extent cx="323850" cy="247650"/>
            <wp:effectExtent l="0" t="0" r="0" b="0"/>
            <wp:docPr id="29" name="Рисунок 2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и p - см. </w:t>
      </w:r>
      <w:r w:rsidRPr="002C56FB">
        <w:t>формулу (1)</w:t>
      </w:r>
      <w:r w:rsidRPr="002C56FB">
        <w:t>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Фактический дисконтированный с</w:t>
      </w:r>
      <w:r w:rsidRPr="002C56FB">
        <w:t>рок окупаемости в этом случае вычисляют по формуле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7" w:name="Par142"/>
      <w:bookmarkEnd w:id="7"/>
      <w:r w:rsidRPr="002C56FB">
        <w:rPr>
          <w:noProof/>
          <w:position w:val="-27"/>
        </w:rPr>
        <w:drawing>
          <wp:inline distT="0" distB="0" distL="0" distR="0">
            <wp:extent cx="1381125" cy="476250"/>
            <wp:effectExtent l="0" t="0" r="0" b="0"/>
            <wp:docPr id="30" name="Рисунок 3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. (8)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Дальнейшие расчеты проводят аналогично </w:t>
      </w:r>
      <w:r w:rsidRPr="002C56FB">
        <w:t>3.2.2</w:t>
      </w:r>
      <w:r w:rsidRPr="002C56FB">
        <w:t>. Величина T</w:t>
      </w:r>
      <w:r w:rsidRPr="002C56FB">
        <w:rPr>
          <w:vertAlign w:val="subscript"/>
        </w:rPr>
        <w:t>ок</w:t>
      </w:r>
      <w:r w:rsidRPr="002C56FB">
        <w:t xml:space="preserve"> при капитализации промежуточных доходов всегда меньше, чем при дисконтировании, поэтому область технико-экономической целесообразности реализации энергосберегающих мероприятий в этом случае расширяется.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  <w:outlineLvl w:val="0"/>
      </w:pPr>
      <w:r w:rsidRPr="002C56FB">
        <w:t>Приложение А</w:t>
      </w:r>
    </w:p>
    <w:p w:rsidR="00000000" w:rsidRPr="002C56FB" w:rsidRDefault="002C56FB">
      <w:pPr>
        <w:pStyle w:val="ConsPlusNormal"/>
        <w:jc w:val="end"/>
      </w:pPr>
      <w:r w:rsidRPr="002C56FB">
        <w:t>(справочное)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8" w:name="Par153"/>
      <w:bookmarkEnd w:id="8"/>
      <w:r w:rsidRPr="002C56FB">
        <w:t>УДЕЛЬНЫЕ</w:t>
      </w:r>
      <w:r w:rsidRPr="002C56FB">
        <w:t xml:space="preserve"> ХАРАКТЕРИСТИКИ СИСТЕМ ОТОПЛЕНИЯ,</w:t>
      </w:r>
    </w:p>
    <w:p w:rsidR="00000000" w:rsidRPr="002C56FB" w:rsidRDefault="002C56FB">
      <w:pPr>
        <w:pStyle w:val="ConsPlusNormal"/>
        <w:jc w:val="center"/>
      </w:pPr>
      <w:r w:rsidRPr="002C56FB">
        <w:t>ВЕНТИЛЯЦИИ И КОНДИЦИОНИРОВАНИЯ ВОЗДУХА ДЛЯ РАСЧЕТА</w:t>
      </w:r>
    </w:p>
    <w:p w:rsidR="00000000" w:rsidRPr="002C56FB" w:rsidRDefault="002C56FB">
      <w:pPr>
        <w:pStyle w:val="ConsPlusNormal"/>
        <w:jc w:val="center"/>
      </w:pPr>
      <w:r w:rsidRPr="002C56FB">
        <w:t>КАПИТАЛЬНЫХ ЗАТРАТ ПО УКРУПНЕННЫМ ПОКАЗАТЕЛЯМ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Удельные характеристики систем отопления приведены в таблице А.1.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Таблица А.1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4740"/>
        <w:gridCol w:w="1531"/>
        <w:gridCol w:w="3389"/>
      </w:tblGrid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Наименование оборудования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Ед. изм.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Кол-во на</w:t>
            </w:r>
            <w:r w:rsidRPr="002C56FB">
              <w:t xml:space="preserve"> 1 кВт мощности системы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Радиаторы чугунные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секция/кВт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6 - 8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Радиаторы панельные и конвекторы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шт./кВт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Термоклапаны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шт.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Краны шаровые</w:t>
            </w:r>
          </w:p>
        </w:tc>
        <w:tc>
          <w:tcPr>
            <w:tcW w:w="76.5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шт.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1,5</w:t>
            </w:r>
          </w:p>
        </w:tc>
      </w:tr>
      <w:tr w:rsidR="002C56FB" w:rsidRPr="002C56FB">
        <w:tc>
          <w:tcPr>
            <w:tcW w:w="237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(при отсутствии термоклапанов)</w:t>
            </w:r>
          </w:p>
        </w:tc>
        <w:tc>
          <w:tcPr>
            <w:tcW w:w="76.5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</w:p>
        </w:tc>
        <w:tc>
          <w:tcPr>
            <w:tcW w:w="169.45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(2,5)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Трубы стальные водогазопроводные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пог. м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7 - 10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Трубы металлопластиковые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пог. м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7 - 10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Трубы полимерные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пог. м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7 - 10</w:t>
            </w:r>
          </w:p>
        </w:tc>
      </w:tr>
      <w:tr w:rsidR="002C56FB" w:rsidRPr="002C56FB">
        <w:tc>
          <w:tcPr>
            <w:tcW w:w="237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Насосы</w:t>
            </w:r>
          </w:p>
        </w:tc>
        <w:tc>
          <w:tcPr>
            <w:tcW w:w="7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м</w:t>
            </w:r>
            <w:r w:rsidRPr="002C56FB">
              <w:rPr>
                <w:vertAlign w:val="superscript"/>
              </w:rPr>
              <w:t>3</w:t>
            </w:r>
            <w:r w:rsidRPr="002C56FB">
              <w:t>/ч</w:t>
            </w:r>
          </w:p>
        </w:tc>
        <w:tc>
          <w:tcPr>
            <w:tcW w:w="16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0,03 - 0,04</w:t>
            </w:r>
          </w:p>
        </w:tc>
      </w:tr>
      <w:tr w:rsidR="002C56FB" w:rsidRPr="002C56FB">
        <w:tc>
          <w:tcPr>
            <w:tcW w:w="483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both"/>
            </w:pPr>
            <w:r w:rsidRPr="002C56FB">
              <w:t>Примечание. Прочие расходы на элементы, не указанные в таблице А.1, следует принимать в размере 30% - 40% стоимости чугунных радиаторов и конвекторов или 12% -</w:t>
            </w:r>
            <w:r w:rsidRPr="002C56FB">
              <w:t xml:space="preserve"> 16% стоимости панельных радиаторов, а расходы на монтаж и наладку - в размере 50% - 60% общей стоимости оборудования. При использовании металлопластиковых труб их стоимость должна быть увеличена на 60% для учета стоимости комплектации труб фитингами.</w:t>
            </w: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Уд</w:t>
      </w:r>
      <w:r w:rsidRPr="002C56FB">
        <w:t>ельные характеристики систем вентиляции и кондиционирования воздуха приведены в таблице А.2.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Таблица А.2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4980"/>
        <w:gridCol w:w="4680"/>
      </w:tblGrid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Наименование элементов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Кол-во на 1 тыс. м</w:t>
            </w:r>
            <w:r w:rsidRPr="002C56FB">
              <w:rPr>
                <w:vertAlign w:val="superscript"/>
              </w:rPr>
              <w:t>3</w:t>
            </w:r>
            <w:r w:rsidRPr="002C56FB">
              <w:t>/ч воздухопроизводительности системы (L)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Воздуховоды спиральные (с комплектующими)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4 - 7 м</w:t>
            </w:r>
            <w:r w:rsidRPr="002C56FB">
              <w:rPr>
                <w:vertAlign w:val="superscript"/>
              </w:rPr>
              <w:t>2</w:t>
            </w:r>
            <w:r w:rsidRPr="002C56FB">
              <w:t xml:space="preserve"> поверхности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Воздуховоды сварные (с комплектующими)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То же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Воздухораспределители и вытяжные решетки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«</w:t>
            </w:r>
            <w:r w:rsidRPr="002C56FB">
              <w:t xml:space="preserve"> «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Наименование оборудования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Относительная стоимость оборудования на 1 тыс. м</w:t>
            </w:r>
            <w:r w:rsidRPr="002C56FB">
              <w:rPr>
                <w:vertAlign w:val="superscript"/>
              </w:rPr>
              <w:t>3</w:t>
            </w:r>
            <w:r w:rsidRPr="002C56FB">
              <w:t>/ч L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Приточные установки (ПУ) в базовой комплектации: приемная, фильтровальная, нагреват</w:t>
            </w:r>
            <w:r w:rsidRPr="002C56FB">
              <w:t>ельная и вентиляторная секции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 (L = 16 - 45 тыс. м</w:t>
            </w:r>
            <w:r w:rsidRPr="002C56FB">
              <w:rPr>
                <w:vertAlign w:val="superscript"/>
              </w:rPr>
              <w:t>3</w:t>
            </w:r>
            <w:r w:rsidRPr="002C56FB">
              <w:t>/ч)</w:t>
            </w:r>
          </w:p>
          <w:p w:rsidR="00000000" w:rsidRPr="002C56FB" w:rsidRDefault="002C56FB">
            <w:pPr>
              <w:pStyle w:val="ConsPlusNormal"/>
              <w:jc w:val="center"/>
            </w:pPr>
            <w:r w:rsidRPr="002C56FB">
              <w:t>1,5 (L &lt; 16 или L &gt; 45 тыс. м</w:t>
            </w:r>
            <w:r w:rsidRPr="002C56FB">
              <w:rPr>
                <w:vertAlign w:val="superscript"/>
              </w:rPr>
              <w:t>3</w:t>
            </w:r>
            <w:r w:rsidRPr="002C56FB">
              <w:t>/ч)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Установки кондиционирования воздуха (УКВ) с охладителем и секцией увлажнения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2,1 (L = 16 - 45 тыс. м</w:t>
            </w:r>
            <w:r w:rsidRPr="002C56FB">
              <w:rPr>
                <w:vertAlign w:val="superscript"/>
              </w:rPr>
              <w:t>3</w:t>
            </w:r>
            <w:r w:rsidRPr="002C56FB">
              <w:t>/ч)</w:t>
            </w:r>
          </w:p>
          <w:p w:rsidR="00000000" w:rsidRPr="002C56FB" w:rsidRDefault="002C56FB">
            <w:pPr>
              <w:pStyle w:val="ConsPlusNormal"/>
              <w:jc w:val="center"/>
            </w:pPr>
            <w:r w:rsidRPr="002C56FB">
              <w:t>2,7 (L &lt; 16 или L &gt; 45 тыс. м</w:t>
            </w:r>
            <w:r w:rsidRPr="002C56FB">
              <w:rPr>
                <w:vertAlign w:val="superscript"/>
              </w:rPr>
              <w:t>3</w:t>
            </w:r>
            <w:r w:rsidRPr="002C56FB">
              <w:t>/ч)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Оборудование для теплоутилизации с промежуточным теплоносителем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0,3 - 0,35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с пластинчатыми рекуператорами или роторными регенераторами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0,6 - 0,7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Автоматика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30% - 40% от стоимости ПУ или УКВ (при наличии теплоутилизационного оборудования - с учетом</w:t>
            </w:r>
            <w:r w:rsidRPr="002C56FB">
              <w:t xml:space="preserve"> его стоимости)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Прочие расходы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0,15 - 0,2</w:t>
            </w:r>
          </w:p>
        </w:tc>
      </w:tr>
      <w:tr w:rsidR="002C56FB" w:rsidRPr="002C56FB">
        <w:tc>
          <w:tcPr>
            <w:tcW w:w="24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Монтаж и наладка</w:t>
            </w:r>
          </w:p>
        </w:tc>
        <w:tc>
          <w:tcPr>
            <w:tcW w:w="23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50% - 70% суммарной стоимости оборудования</w:t>
            </w: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  <w:outlineLvl w:val="0"/>
      </w:pPr>
      <w:r w:rsidRPr="002C56FB">
        <w:t>Приложение Б</w:t>
      </w:r>
    </w:p>
    <w:p w:rsidR="00000000" w:rsidRPr="002C56FB" w:rsidRDefault="002C56FB">
      <w:pPr>
        <w:pStyle w:val="ConsPlusNormal"/>
        <w:jc w:val="end"/>
      </w:pPr>
      <w:r w:rsidRPr="002C56FB">
        <w:t>(справочное)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9" w:name="Par230"/>
      <w:bookmarkEnd w:id="9"/>
      <w:r w:rsidRPr="002C56FB">
        <w:t>ДАННЫЕ ПО СРОКУ СЛУЖБЫ ОБОРУДОВАНИЯ</w:t>
      </w:r>
    </w:p>
    <w:p w:rsidR="00000000" w:rsidRPr="002C56FB" w:rsidRDefault="002C56FB">
      <w:pPr>
        <w:pStyle w:val="ConsPlusNormal"/>
        <w:jc w:val="center"/>
      </w:pPr>
      <w:r w:rsidRPr="002C56FB">
        <w:t>И РАСХОДАМ НА ЕГО ТЕХНИЧЕСКОЕ ОБСЛУЖИВАНИЕ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Данные по сроку службы оборудования и расходам на его техническое обслуживание приведены в таблице Б.1.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Таблица Б.1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3900"/>
        <w:gridCol w:w="1680"/>
        <w:gridCol w:w="2400"/>
        <w:gridCol w:w="1680"/>
      </w:tblGrid>
      <w:tr w:rsidR="002C56FB" w:rsidRPr="002C56FB">
        <w:tc>
          <w:tcPr>
            <w:tcW w:w="1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Компонент</w:t>
            </w:r>
          </w:p>
        </w:tc>
        <w:tc>
          <w:tcPr>
            <w:tcW w:w="8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Срок службы (мин. - макс.), лет</w:t>
            </w:r>
          </w:p>
        </w:tc>
        <w:tc>
          <w:tcPr>
            <w:tcW w:w="1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 xml:space="preserve">Годовое профилактическое техническое обслуживание, включая расходы на </w:t>
            </w:r>
            <w:r w:rsidRPr="002C56FB">
              <w:lastRenderedPageBreak/>
              <w:t>эксплуатацию, ремонт и обс</w:t>
            </w:r>
            <w:r w:rsidRPr="002C56FB">
              <w:t>луживание, % капитальных затрат</w:t>
            </w:r>
          </w:p>
        </w:tc>
        <w:tc>
          <w:tcPr>
            <w:tcW w:w="8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lastRenderedPageBreak/>
              <w:t>Расходы на снятие с эксплуатации, % капитальных затрат</w:t>
            </w:r>
          </w:p>
        </w:tc>
      </w:tr>
      <w:tr w:rsidR="002C56FB" w:rsidRPr="002C56FB">
        <w:tc>
          <w:tcPr>
            <w:tcW w:w="195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Установки приточные, в т.ч. кондиционирования воздуха</w:t>
            </w:r>
          </w:p>
        </w:tc>
        <w:tc>
          <w:tcPr>
            <w:tcW w:w="84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Воздухоохладители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Воздухонагреватели электрические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паровые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водяные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2 - 4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Котел конденсационный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1 - 2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Котел водотрубный с дымососом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1 - 2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Котел жаротрубный с дымососом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1 - 2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Горелки, мазутная и газовая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4 - 6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Камины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-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Конденсаторы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Технические средства автоматизации оборудования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2 - 4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Система управления микроклиматом - центральная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 - управление единственным помещением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Регулирующие клапаны автоматические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с ручным управлением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Конвекторы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Компрессоры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Охлаждающие панели и потолки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Воздушные клапаны ручные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Воздушные клапаны с электроприводом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Диффузоры (анемостаты)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Воздуховоды двухканальных систем кондиционирования воздуха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Система воздуховодов для отфильтрованного воздуха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Система воздуховодов для неотфильтрованного воздуха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lastRenderedPageBreak/>
              <w:t>Электрический приборный щит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0,5 - 1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Электрическое отопление с тепловым аккумулятором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20 - 25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с конвекторами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20 - 25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Электрический обогрев пола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25 - 50*</w:t>
            </w:r>
          </w:p>
          <w:p w:rsidR="00000000" w:rsidRPr="002C56FB" w:rsidRDefault="002C56FB">
            <w:pPr>
              <w:pStyle w:val="ConsPlusNormal"/>
              <w:jc w:val="center"/>
            </w:pPr>
            <w:r w:rsidRPr="002C56FB">
              <w:t>(*) если срок службы согласован с результатами испытаний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 т.ч. электрокабели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25 - 50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0,5 - 1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Водяной обогрев пола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50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Испарители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Расширительные баки - мембранные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0,5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Расширительные баки открытые из нержавеющей стали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из стали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Вентиляционные решетки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Вентиляторные доводчики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Вентиляторы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Вентиляторы с переменным расходом воздуха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Рамы фильтров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Сменный материал фильтров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Материал фильтров, очищаемый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Огнезадерживающие клапаны, легко доступные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8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Огнезадерживающие клапаны, скрытые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Топливный бак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0,5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5 - 10</w:t>
            </w: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Газовый баллон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0,5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5</w:t>
            </w: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Тепловые насосы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2 - 4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Вращающиеся регенераторы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Теплоутилизаторы рекуперативные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Увлажнители паровые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4 - 10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форсуночные и сотовые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Измерительные приборы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lastRenderedPageBreak/>
              <w:t>Клапаны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Двигатели дизельные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электрические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Трубы медные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композитные (см. водяной обогрев пола)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50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Трубы из нержавеющей стали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Трубы стальные в водяной системе отопления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в паровой системе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Системы трубопроводов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0,5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Насосы циркуляционные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10 - 20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То же, регулируемые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10 - 15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1,5 - 2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Красочное покрытие радиаторов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20 - 30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-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Радиаторы отопительные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30 - 40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1 - 2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Запорные клапаны автоматические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Запорные клапаны с ручным управлением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Солнечный коллектор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15 - 25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0,5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Трубчатый шумоглушитель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Бак - аккумулятор горячей воды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Емкостный водонагреватель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Радиаторные термостаты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Клиноременная передача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</w:t>
            </w:r>
          </w:p>
        </w:tc>
        <w:tc>
          <w:tcPr>
            <w:tcW w:w="120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</w:t>
            </w:r>
          </w:p>
        </w:tc>
        <w:tc>
          <w:tcPr>
            <w:tcW w:w="84pt" w:type="dxa"/>
            <w:tcBorders>
              <w:start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  <w:tr w:rsidR="002C56FB" w:rsidRPr="002C56FB">
        <w:tc>
          <w:tcPr>
            <w:tcW w:w="195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Электрические провода</w:t>
            </w:r>
          </w:p>
        </w:tc>
        <w:tc>
          <w:tcPr>
            <w:tcW w:w="84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</w:t>
            </w:r>
          </w:p>
        </w:tc>
        <w:tc>
          <w:tcPr>
            <w:tcW w:w="120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84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  <w:outlineLvl w:val="0"/>
      </w:pPr>
      <w:r w:rsidRPr="002C56FB">
        <w:t>Приложение В</w:t>
      </w:r>
    </w:p>
    <w:p w:rsidR="00000000" w:rsidRPr="002C56FB" w:rsidRDefault="002C56FB">
      <w:pPr>
        <w:pStyle w:val="ConsPlusNormal"/>
        <w:jc w:val="end"/>
      </w:pPr>
      <w:r w:rsidRPr="002C56FB">
        <w:t>(справочное)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bookmarkStart w:id="10" w:name="Par546"/>
      <w:bookmarkEnd w:id="10"/>
      <w:r w:rsidRPr="002C56FB">
        <w:t>ПРИМЕР ТЕХНИКО-ЭКОНОМИЧЕСКОГО СРАВНЕНИЯ ВАРИАНТОВ</w:t>
      </w:r>
    </w:p>
    <w:p w:rsidR="00000000" w:rsidRPr="002C56FB" w:rsidRDefault="002C56FB">
      <w:pPr>
        <w:pStyle w:val="ConsPlusNormal"/>
        <w:jc w:val="center"/>
      </w:pPr>
      <w:r w:rsidRPr="002C56FB">
        <w:t>РЕАЛИЗАЦИИ ЭНЕРГОСБЕРЕГАЮЩИХ МЕРОПРИЯТИЙ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Состав энергосберегающих мероприятий при варианте II и дополнительные капитальные затраты на их осуществление приведены в таблице В.1.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bookmarkStart w:id="11" w:name="Par551"/>
      <w:bookmarkEnd w:id="11"/>
      <w:r w:rsidRPr="002C56FB">
        <w:t>Таблица В.1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6180"/>
        <w:gridCol w:w="3490"/>
      </w:tblGrid>
      <w:tr w:rsidR="002C56FB" w:rsidRPr="002C56FB">
        <w:tc>
          <w:tcPr>
            <w:tcW w:w="30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lastRenderedPageBreak/>
              <w:t>Мероприятие</w:t>
            </w:r>
          </w:p>
        </w:tc>
        <w:tc>
          <w:tcPr>
            <w:tcW w:w="174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Капитальные затраты К</w:t>
            </w:r>
            <w:r w:rsidRPr="002C56FB">
              <w:rPr>
                <w:vertAlign w:val="subscript"/>
              </w:rPr>
              <w:t>i</w:t>
            </w:r>
            <w:r w:rsidRPr="002C56FB">
              <w:t>, руб.</w:t>
            </w:r>
          </w:p>
        </w:tc>
      </w:tr>
      <w:tr w:rsidR="002C56FB" w:rsidRPr="002C56FB">
        <w:tc>
          <w:tcPr>
            <w:tcW w:w="30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Дополнительная теплоизоляция несветопрозрачных наружных ограждений</w:t>
            </w:r>
          </w:p>
        </w:tc>
        <w:tc>
          <w:tcPr>
            <w:tcW w:w="174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1159270</w:t>
            </w:r>
          </w:p>
        </w:tc>
      </w:tr>
      <w:tr w:rsidR="002C56FB" w:rsidRPr="002C56FB">
        <w:tc>
          <w:tcPr>
            <w:tcW w:w="30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Замена окон на энергоэффективные</w:t>
            </w:r>
          </w:p>
        </w:tc>
        <w:tc>
          <w:tcPr>
            <w:tcW w:w="174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194220</w:t>
            </w:r>
          </w:p>
        </w:tc>
      </w:tr>
      <w:tr w:rsidR="002C56FB" w:rsidRPr="002C56FB">
        <w:tc>
          <w:tcPr>
            <w:tcW w:w="30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Устройство теплоутилизации в системах механической вентиляции и кондиционирования воздуха</w:t>
            </w:r>
          </w:p>
        </w:tc>
        <w:tc>
          <w:tcPr>
            <w:tcW w:w="174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291749</w:t>
            </w:r>
          </w:p>
        </w:tc>
      </w:tr>
      <w:tr w:rsidR="002C56FB" w:rsidRPr="002C56FB">
        <w:tc>
          <w:tcPr>
            <w:tcW w:w="30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Установка термоклапанов у отопительных пр</w:t>
            </w:r>
            <w:r w:rsidRPr="002C56FB">
              <w:t>иборов систем отопления</w:t>
            </w:r>
          </w:p>
        </w:tc>
        <w:tc>
          <w:tcPr>
            <w:tcW w:w="174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153216</w:t>
            </w:r>
          </w:p>
        </w:tc>
      </w:tr>
      <w:tr w:rsidR="002C56FB" w:rsidRPr="002C56FB">
        <w:tc>
          <w:tcPr>
            <w:tcW w:w="309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end"/>
            </w:pPr>
            <w:r w:rsidRPr="002C56FB">
              <w:t>Итого</w:t>
            </w:r>
          </w:p>
        </w:tc>
        <w:tc>
          <w:tcPr>
            <w:tcW w:w="174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rPr>
                <w:noProof/>
                <w:position w:val="-9"/>
              </w:rPr>
              <w:drawing>
                <wp:inline distT="0" distB="0" distL="0" distR="0">
                  <wp:extent cx="1047750" cy="247650"/>
                  <wp:effectExtent l="0" t="0" r="0" b="0"/>
                  <wp:docPr id="31" name="Рисунок 3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Калькуляция дополнительных капитальных затрат для </w:t>
      </w:r>
      <w:r w:rsidRPr="002C56FB">
        <w:t>таблицы В.1</w:t>
      </w:r>
      <w:r w:rsidRPr="002C56FB">
        <w:t xml:space="preserve"> приведена в таблице В.2.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Таблица В.2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2700"/>
        <w:gridCol w:w="1766"/>
        <w:gridCol w:w="715"/>
        <w:gridCol w:w="830"/>
        <w:gridCol w:w="1142"/>
        <w:gridCol w:w="2507"/>
      </w:tblGrid>
      <w:tr w:rsidR="002C56FB" w:rsidRPr="002C56FB">
        <w:tc>
          <w:tcPr>
            <w:tcW w:w="1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Мероприятие</w:t>
            </w:r>
          </w:p>
        </w:tc>
        <w:tc>
          <w:tcPr>
            <w:tcW w:w="8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Базовый показатель</w:t>
            </w:r>
          </w:p>
        </w:tc>
        <w:tc>
          <w:tcPr>
            <w:tcW w:w="35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Ед. изм.</w:t>
            </w:r>
          </w:p>
        </w:tc>
        <w:tc>
          <w:tcPr>
            <w:tcW w:w="41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Кол-во</w:t>
            </w:r>
          </w:p>
        </w:tc>
        <w:tc>
          <w:tcPr>
            <w:tcW w:w="57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Затраты на ед., руб.</w:t>
            </w:r>
          </w:p>
        </w:tc>
        <w:tc>
          <w:tcPr>
            <w:tcW w:w="125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Примечание</w:t>
            </w:r>
          </w:p>
        </w:tc>
      </w:tr>
      <w:tr w:rsidR="002C56FB" w:rsidRPr="002C56FB">
        <w:tc>
          <w:tcPr>
            <w:tcW w:w="1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Дополнительная теплоизоляция несветопрозрачных наружных ограждений</w:t>
            </w:r>
          </w:p>
        </w:tc>
        <w:tc>
          <w:tcPr>
            <w:tcW w:w="8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Объем теплоизоляции</w:t>
            </w:r>
          </w:p>
        </w:tc>
        <w:tc>
          <w:tcPr>
            <w:tcW w:w="35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м</w:t>
            </w:r>
            <w:r w:rsidRPr="002C56FB">
              <w:rPr>
                <w:vertAlign w:val="superscript"/>
              </w:rPr>
              <w:t>3</w:t>
            </w:r>
          </w:p>
        </w:tc>
        <w:tc>
          <w:tcPr>
            <w:tcW w:w="41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607</w:t>
            </w:r>
          </w:p>
        </w:tc>
        <w:tc>
          <w:tcPr>
            <w:tcW w:w="57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850</w:t>
            </w:r>
          </w:p>
        </w:tc>
        <w:tc>
          <w:tcPr>
            <w:tcW w:w="125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Затраты на теплоизоляционный материал</w:t>
            </w:r>
          </w:p>
        </w:tc>
      </w:tr>
      <w:tr w:rsidR="002C56FB" w:rsidRPr="002C56FB">
        <w:tc>
          <w:tcPr>
            <w:tcW w:w="1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ind w:firstLine="27pt"/>
              <w:jc w:val="both"/>
            </w:pPr>
          </w:p>
        </w:tc>
        <w:tc>
          <w:tcPr>
            <w:tcW w:w="8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Суммарная площадь</w:t>
            </w:r>
          </w:p>
        </w:tc>
        <w:tc>
          <w:tcPr>
            <w:tcW w:w="35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м</w:t>
            </w:r>
            <w:r w:rsidRPr="002C56FB">
              <w:rPr>
                <w:vertAlign w:val="superscript"/>
              </w:rPr>
              <w:t>2</w:t>
            </w:r>
          </w:p>
        </w:tc>
        <w:tc>
          <w:tcPr>
            <w:tcW w:w="41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7148</w:t>
            </w:r>
          </w:p>
        </w:tc>
        <w:tc>
          <w:tcPr>
            <w:tcW w:w="57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90</w:t>
            </w:r>
          </w:p>
        </w:tc>
        <w:tc>
          <w:tcPr>
            <w:tcW w:w="125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Затраты на работы по теплоизоляции</w:t>
            </w:r>
          </w:p>
        </w:tc>
      </w:tr>
      <w:tr w:rsidR="002C56FB" w:rsidRPr="002C56FB">
        <w:tc>
          <w:tcPr>
            <w:tcW w:w="1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Замена окон на энергоэффективные</w:t>
            </w:r>
          </w:p>
        </w:tc>
        <w:tc>
          <w:tcPr>
            <w:tcW w:w="8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Площадь остекления</w:t>
            </w:r>
          </w:p>
        </w:tc>
        <w:tc>
          <w:tcPr>
            <w:tcW w:w="35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м</w:t>
            </w:r>
            <w:r w:rsidRPr="002C56FB">
              <w:rPr>
                <w:vertAlign w:val="superscript"/>
              </w:rPr>
              <w:t>2</w:t>
            </w:r>
          </w:p>
        </w:tc>
        <w:tc>
          <w:tcPr>
            <w:tcW w:w="41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747</w:t>
            </w:r>
          </w:p>
        </w:tc>
        <w:tc>
          <w:tcPr>
            <w:tcW w:w="57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260</w:t>
            </w:r>
          </w:p>
        </w:tc>
        <w:tc>
          <w:tcPr>
            <w:tcW w:w="125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Разность стоимости до и после замены</w:t>
            </w:r>
          </w:p>
        </w:tc>
      </w:tr>
      <w:tr w:rsidR="002C56FB" w:rsidRPr="002C56FB">
        <w:tc>
          <w:tcPr>
            <w:tcW w:w="1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Устройство теплоутилизации с промежуточным теплоносителем в системах механической вентиляции и кондиционирования воздуха</w:t>
            </w:r>
          </w:p>
        </w:tc>
        <w:tc>
          <w:tcPr>
            <w:tcW w:w="8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Суммарный воздухообмен</w:t>
            </w:r>
          </w:p>
        </w:tc>
        <w:tc>
          <w:tcPr>
            <w:tcW w:w="35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м</w:t>
            </w:r>
            <w:r w:rsidRPr="002C56FB">
              <w:rPr>
                <w:vertAlign w:val="superscript"/>
              </w:rPr>
              <w:t>3</w:t>
            </w:r>
            <w:r w:rsidRPr="002C56FB">
              <w:t>/ч</w:t>
            </w:r>
          </w:p>
        </w:tc>
        <w:tc>
          <w:tcPr>
            <w:tcW w:w="41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86830</w:t>
            </w:r>
          </w:p>
        </w:tc>
        <w:tc>
          <w:tcPr>
            <w:tcW w:w="57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10,1·1/3</w:t>
            </w:r>
          </w:p>
        </w:tc>
        <w:tc>
          <w:tcPr>
            <w:tcW w:w="125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Затраты на теплоутилизационное оборудование приняты в размере 1/3 стоимости приточных установок</w:t>
            </w:r>
          </w:p>
        </w:tc>
      </w:tr>
      <w:tr w:rsidR="002C56FB" w:rsidRPr="002C56FB">
        <w:tc>
          <w:tcPr>
            <w:tcW w:w="1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Установка термоклапанов у отопительных приборов систем отопления</w:t>
            </w:r>
          </w:p>
        </w:tc>
        <w:tc>
          <w:tcPr>
            <w:tcW w:w="8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Количество комплектов</w:t>
            </w:r>
          </w:p>
        </w:tc>
        <w:tc>
          <w:tcPr>
            <w:tcW w:w="35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шт.</w:t>
            </w:r>
          </w:p>
        </w:tc>
        <w:tc>
          <w:tcPr>
            <w:tcW w:w="41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152</w:t>
            </w:r>
          </w:p>
        </w:tc>
        <w:tc>
          <w:tcPr>
            <w:tcW w:w="57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1008</w:t>
            </w:r>
          </w:p>
        </w:tc>
        <w:tc>
          <w:tcPr>
            <w:tcW w:w="125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Средняя мощность одного прибора принята 1 кВт, поэ</w:t>
            </w:r>
            <w:r w:rsidRPr="002C56FB">
              <w:t>тому число термоклапанов равно мощности системы в кВт</w:t>
            </w: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Суммарный объем теплоизоляционного материала в конструкциях ограждений V</w:t>
      </w:r>
      <w:r w:rsidRPr="002C56FB">
        <w:rPr>
          <w:vertAlign w:val="subscript"/>
        </w:rPr>
        <w:t>ти</w:t>
      </w:r>
      <w:r w:rsidRPr="002C56FB">
        <w:t>, м</w:t>
      </w:r>
      <w:r w:rsidRPr="002C56FB">
        <w:rPr>
          <w:vertAlign w:val="superscript"/>
        </w:rPr>
        <w:t>3</w:t>
      </w:r>
      <w:r w:rsidRPr="002C56FB">
        <w:t>, можно определить по формуле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9"/>
        </w:rPr>
        <w:drawing>
          <wp:inline distT="0" distB="0" distL="0" distR="0">
            <wp:extent cx="1485900" cy="247650"/>
            <wp:effectExtent l="0" t="0" r="0" b="0"/>
            <wp:docPr id="32" name="Рисунок 3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где </w:t>
      </w:r>
      <w:r w:rsidRPr="002C56FB">
        <w:rPr>
          <w:noProof/>
          <w:position w:val="-8"/>
        </w:rPr>
        <w:drawing>
          <wp:inline distT="0" distB="0" distL="0" distR="0">
            <wp:extent cx="209550" cy="228600"/>
            <wp:effectExtent l="0" t="0" r="0" b="0"/>
            <wp:docPr id="33" name="Рисунок 3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- теплопроводность используемого теплоизоляционного материала, Вт/(м·К), принимаемая по справочным данным для материала, используемого в проекте;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R</w:t>
      </w:r>
      <w:r w:rsidRPr="002C56FB">
        <w:rPr>
          <w:vertAlign w:val="subscript"/>
        </w:rPr>
        <w:t>i</w:t>
      </w:r>
      <w:r w:rsidRPr="002C56FB">
        <w:t xml:space="preserve"> и A</w:t>
      </w:r>
      <w:r w:rsidRPr="002C56FB">
        <w:rPr>
          <w:vertAlign w:val="subscript"/>
        </w:rPr>
        <w:t>i</w:t>
      </w:r>
      <w:r w:rsidRPr="002C56FB">
        <w:t xml:space="preserve"> - сопротивление теплопередаче, м</w:t>
      </w:r>
      <w:r w:rsidRPr="002C56FB">
        <w:rPr>
          <w:vertAlign w:val="superscript"/>
        </w:rPr>
        <w:t>2</w:t>
      </w:r>
      <w:r w:rsidRPr="002C56FB">
        <w:t>·К/Вт, теплоизолируемых ограждающ</w:t>
      </w:r>
      <w:r w:rsidRPr="002C56FB">
        <w:t xml:space="preserve">их конструкций </w:t>
      </w:r>
      <w:r w:rsidRPr="002C56FB">
        <w:lastRenderedPageBreak/>
        <w:t>оболочки здания и их площадь, м</w:t>
      </w:r>
      <w:r w:rsidRPr="002C56FB">
        <w:rPr>
          <w:vertAlign w:val="superscript"/>
        </w:rPr>
        <w:t>2</w:t>
      </w:r>
      <w:r w:rsidRPr="002C56FB">
        <w:t>, соответственно: наружных стен, перекрытия над неотапливаемым подвалом или техническим подпольем, пола по грунту, чердачного перекрытия или покрытия и др.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Значения A</w:t>
      </w:r>
      <w:r w:rsidRPr="002C56FB">
        <w:rPr>
          <w:vertAlign w:val="subscript"/>
        </w:rPr>
        <w:t>i</w:t>
      </w:r>
      <w:r w:rsidRPr="002C56FB">
        <w:t xml:space="preserve"> принимают по архитектурно-строительным че</w:t>
      </w:r>
      <w:r w:rsidRPr="002C56FB">
        <w:t>ртежам, а R</w:t>
      </w:r>
      <w:r w:rsidRPr="002C56FB">
        <w:rPr>
          <w:vertAlign w:val="subscript"/>
        </w:rPr>
        <w:t>i</w:t>
      </w:r>
      <w:r w:rsidRPr="002C56FB">
        <w:t xml:space="preserve"> - в зависимости от сравниваемого варианта устройства теплозащиты ограждений. Параметр r</w:t>
      </w:r>
      <w:r w:rsidRPr="002C56FB">
        <w:rPr>
          <w:vertAlign w:val="subscript"/>
        </w:rPr>
        <w:t>i</w:t>
      </w:r>
      <w:r w:rsidRPr="002C56FB">
        <w:t xml:space="preserve"> представляет собой коэффициент теплотехнической однородности соответствующего ограждения, а множитель 0,8 соответствует средней доле термического сопротив</w:t>
      </w:r>
      <w:r w:rsidRPr="002C56FB">
        <w:t>ления слоя теплоизоляции в общем сопротивлении ограждения теплопередаче.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Если (как в настоящем примере) определяется объем дополнительной теплоизоляции для варианта II по сравнению с вариантом I, вместо R</w:t>
      </w:r>
      <w:r w:rsidRPr="002C56FB">
        <w:rPr>
          <w:vertAlign w:val="subscript"/>
        </w:rPr>
        <w:t>i</w:t>
      </w:r>
      <w:r w:rsidRPr="002C56FB">
        <w:t xml:space="preserve"> необходимо использовать разности </w:t>
      </w:r>
      <w:r w:rsidRPr="002C56FB">
        <w:rPr>
          <w:noProof/>
          <w:position w:val="-8"/>
        </w:rPr>
        <w:drawing>
          <wp:inline distT="0" distB="0" distL="0" distR="0">
            <wp:extent cx="247650" cy="228600"/>
            <wp:effectExtent l="0" t="0" r="0" b="0"/>
            <wp:docPr id="34" name="Рисунок 3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сопротивлений теплопередаче одноименных ограждений между вариантами. В этом случае множитель 0,8 не используют. Расчет V</w:t>
      </w:r>
      <w:r w:rsidRPr="002C56FB">
        <w:rPr>
          <w:vertAlign w:val="subscript"/>
        </w:rPr>
        <w:t>ти</w:t>
      </w:r>
      <w:r w:rsidRPr="002C56FB">
        <w:t xml:space="preserve"> при </w:t>
      </w:r>
      <w:r w:rsidRPr="002C56FB">
        <w:rPr>
          <w:noProof/>
          <w:position w:val="-8"/>
        </w:rPr>
        <w:drawing>
          <wp:inline distT="0" distB="0" distL="0" distR="0">
            <wp:extent cx="1371600" cy="228600"/>
            <wp:effectExtent l="0" t="0" r="0" b="0"/>
            <wp:docPr id="35" name="Рисунок 3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 а также суммарной площади несветопрозрачных ограждений представлен в та</w:t>
      </w:r>
      <w:r w:rsidRPr="002C56FB">
        <w:t>блице В.3.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Таблица В.3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3900"/>
        <w:gridCol w:w="1320"/>
        <w:gridCol w:w="1920"/>
        <w:gridCol w:w="1080"/>
        <w:gridCol w:w="1440"/>
      </w:tblGrid>
      <w:tr w:rsidR="002C56FB" w:rsidRPr="002C56FB">
        <w:tc>
          <w:tcPr>
            <w:tcW w:w="1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Ограждение</w:t>
            </w:r>
          </w:p>
        </w:tc>
        <w:tc>
          <w:tcPr>
            <w:tcW w:w="6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A</w:t>
            </w:r>
            <w:r w:rsidRPr="002C56FB">
              <w:rPr>
                <w:vertAlign w:val="subscript"/>
              </w:rPr>
              <w:t>i</w:t>
            </w:r>
            <w:r w:rsidRPr="002C56FB">
              <w:t>, м</w:t>
            </w:r>
            <w:r w:rsidRPr="002C56FB">
              <w:rPr>
                <w:vertAlign w:val="superscript"/>
              </w:rPr>
              <w:t>2</w:t>
            </w:r>
          </w:p>
        </w:tc>
        <w:tc>
          <w:tcPr>
            <w:tcW w:w="9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rPr>
                <w:noProof/>
                <w:position w:val="-8"/>
              </w:rPr>
              <w:drawing>
                <wp:inline distT="0" distB="0" distL="0" distR="0">
                  <wp:extent cx="247650" cy="228600"/>
                  <wp:effectExtent l="0" t="0" r="0" b="0"/>
                  <wp:docPr id="36" name="Рисунок 36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6FB">
              <w:t>, м</w:t>
            </w:r>
            <w:r w:rsidRPr="002C56FB">
              <w:rPr>
                <w:vertAlign w:val="superscript"/>
              </w:rPr>
              <w:t>2</w:t>
            </w:r>
            <w:r w:rsidRPr="002C56FB">
              <w:t>·К/Вт</w:t>
            </w:r>
          </w:p>
        </w:tc>
        <w:tc>
          <w:tcPr>
            <w:tcW w:w="5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r</w:t>
            </w:r>
            <w:r w:rsidRPr="002C56FB">
              <w:rPr>
                <w:vertAlign w:val="subscript"/>
              </w:rPr>
              <w:t>i</w:t>
            </w:r>
          </w:p>
        </w:tc>
        <w:tc>
          <w:tcPr>
            <w:tcW w:w="7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V</w:t>
            </w:r>
            <w:r w:rsidRPr="002C56FB">
              <w:rPr>
                <w:vertAlign w:val="subscript"/>
              </w:rPr>
              <w:t>тиi</w:t>
            </w:r>
            <w:r w:rsidRPr="002C56FB">
              <w:t>, м</w:t>
            </w:r>
            <w:r w:rsidRPr="002C56FB">
              <w:rPr>
                <w:vertAlign w:val="superscript"/>
              </w:rPr>
              <w:t>3</w:t>
            </w:r>
          </w:p>
        </w:tc>
      </w:tr>
      <w:tr w:rsidR="002C56FB" w:rsidRPr="002C56FB">
        <w:tc>
          <w:tcPr>
            <w:tcW w:w="1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Наружная стена</w:t>
            </w:r>
          </w:p>
        </w:tc>
        <w:tc>
          <w:tcPr>
            <w:tcW w:w="6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1759</w:t>
            </w:r>
          </w:p>
        </w:tc>
        <w:tc>
          <w:tcPr>
            <w:tcW w:w="9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1,4</w:t>
            </w:r>
          </w:p>
        </w:tc>
        <w:tc>
          <w:tcPr>
            <w:tcW w:w="5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0,6</w:t>
            </w:r>
          </w:p>
        </w:tc>
        <w:tc>
          <w:tcPr>
            <w:tcW w:w="7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175</w:t>
            </w:r>
          </w:p>
        </w:tc>
      </w:tr>
      <w:tr w:rsidR="002C56FB" w:rsidRPr="002C56FB">
        <w:tc>
          <w:tcPr>
            <w:tcW w:w="1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Покрытие</w:t>
            </w:r>
          </w:p>
        </w:tc>
        <w:tc>
          <w:tcPr>
            <w:tcW w:w="6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2397</w:t>
            </w:r>
          </w:p>
        </w:tc>
        <w:tc>
          <w:tcPr>
            <w:tcW w:w="9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1,56</w:t>
            </w:r>
          </w:p>
        </w:tc>
        <w:tc>
          <w:tcPr>
            <w:tcW w:w="5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0,9</w:t>
            </w:r>
          </w:p>
        </w:tc>
        <w:tc>
          <w:tcPr>
            <w:tcW w:w="7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178</w:t>
            </w:r>
          </w:p>
        </w:tc>
      </w:tr>
      <w:tr w:rsidR="002C56FB" w:rsidRPr="002C56FB">
        <w:tc>
          <w:tcPr>
            <w:tcW w:w="1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</w:pPr>
            <w:r w:rsidRPr="002C56FB">
              <w:t>Перекрытие над неотапливаемым подвалом</w:t>
            </w:r>
          </w:p>
        </w:tc>
        <w:tc>
          <w:tcPr>
            <w:tcW w:w="6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2992</w:t>
            </w:r>
          </w:p>
        </w:tc>
        <w:tc>
          <w:tcPr>
            <w:tcW w:w="9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1,79</w:t>
            </w:r>
          </w:p>
        </w:tc>
        <w:tc>
          <w:tcPr>
            <w:tcW w:w="5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0,9</w:t>
            </w:r>
          </w:p>
        </w:tc>
        <w:tc>
          <w:tcPr>
            <w:tcW w:w="7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254</w:t>
            </w:r>
          </w:p>
        </w:tc>
      </w:tr>
      <w:tr w:rsidR="002C56FB" w:rsidRPr="002C56FB">
        <w:tc>
          <w:tcPr>
            <w:tcW w:w="1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end"/>
            </w:pPr>
            <w:r w:rsidRPr="002C56FB">
              <w:t>Итого</w:t>
            </w:r>
          </w:p>
        </w:tc>
        <w:tc>
          <w:tcPr>
            <w:tcW w:w="6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7148</w:t>
            </w:r>
          </w:p>
        </w:tc>
        <w:tc>
          <w:tcPr>
            <w:tcW w:w="9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</w:p>
        </w:tc>
        <w:tc>
          <w:tcPr>
            <w:tcW w:w="54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Итого</w:t>
            </w:r>
          </w:p>
        </w:tc>
        <w:tc>
          <w:tcPr>
            <w:tcW w:w="7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607</w:t>
            </w: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Другие исходные данные: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 xml:space="preserve">- снижение годовых эксплуатационных расходов Э на тепловую и электрическую энергию за счет энергосбережения при варианте II по сравнению с вариантом I (без энергосберегающих мероприятий) </w:t>
      </w:r>
      <w:r w:rsidRPr="002C56FB">
        <w:rPr>
          <w:noProof/>
          <w:position w:val="-6"/>
        </w:rPr>
        <w:drawing>
          <wp:inline distT="0" distB="0" distL="0" distR="0">
            <wp:extent cx="1409700" cy="209550"/>
            <wp:effectExtent l="0" t="0" r="0" b="0"/>
            <wp:docPr id="37" name="Рисунок 3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- норма</w:t>
      </w:r>
      <w:r w:rsidRPr="002C56FB">
        <w:t xml:space="preserve"> дисконта p = 14% годовых;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- расчетный срок службы здания 50 лет.</w:t>
      </w:r>
    </w:p>
    <w:p w:rsidR="00000000" w:rsidRPr="002C56FB" w:rsidRDefault="002C56FB">
      <w:pPr>
        <w:pStyle w:val="ConsPlusNormal"/>
        <w:spacing w:before="10pt"/>
        <w:ind w:firstLine="27pt"/>
        <w:jc w:val="both"/>
      </w:pPr>
      <w:r w:rsidRPr="002C56FB">
        <w:t>Принимаем К</w:t>
      </w:r>
      <w:r w:rsidRPr="002C56FB">
        <w:rPr>
          <w:vertAlign w:val="subscript"/>
        </w:rPr>
        <w:t>1</w:t>
      </w:r>
      <w:r w:rsidRPr="002C56FB">
        <w:t xml:space="preserve"> = 0, </w:t>
      </w:r>
      <w:r w:rsidRPr="002C56FB">
        <w:rPr>
          <w:noProof/>
          <w:position w:val="-8"/>
        </w:rPr>
        <w:drawing>
          <wp:inline distT="0" distB="0" distL="0" distR="0">
            <wp:extent cx="552450" cy="228600"/>
            <wp:effectExtent l="0" t="0" r="0" b="0"/>
            <wp:docPr id="38" name="Рисунок 3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, </w:t>
      </w:r>
      <w:r w:rsidRPr="002C56FB">
        <w:rPr>
          <w:noProof/>
          <w:position w:val="-9"/>
        </w:rPr>
        <w:drawing>
          <wp:inline distT="0" distB="0" distL="0" distR="0">
            <wp:extent cx="704850" cy="247650"/>
            <wp:effectExtent l="0" t="0" r="0" b="0"/>
            <wp:docPr id="39" name="Рисунок 3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, Э</w:t>
      </w:r>
      <w:r w:rsidRPr="002C56FB">
        <w:rPr>
          <w:vertAlign w:val="subscript"/>
        </w:rPr>
        <w:t>2</w:t>
      </w:r>
      <w:r w:rsidRPr="002C56FB">
        <w:t xml:space="preserve"> = 0. Вычисляем СДЗ для каждого варианта по </w:t>
      </w:r>
      <w:r w:rsidRPr="002C56FB">
        <w:t>формуле (1)</w:t>
      </w:r>
      <w:r w:rsidRPr="002C56FB">
        <w:t xml:space="preserve"> и заполняем таблицу В.4 при условии дисконтирования промежуточных доходов.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Таблица В.4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1860"/>
        <w:gridCol w:w="3000"/>
        <w:gridCol w:w="3120"/>
      </w:tblGrid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T, лет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СДЗ</w:t>
            </w:r>
            <w:r w:rsidRPr="002C56FB">
              <w:rPr>
                <w:vertAlign w:val="subscript"/>
              </w:rPr>
              <w:t>1</w:t>
            </w:r>
            <w:r w:rsidRPr="002C56FB">
              <w:t>, руб.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СДЗ</w:t>
            </w:r>
            <w:r w:rsidRPr="002C56FB">
              <w:rPr>
                <w:vertAlign w:val="subscript"/>
              </w:rPr>
              <w:t>2</w:t>
            </w:r>
            <w:r w:rsidRPr="002C56FB">
              <w:t>, руб.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1798455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988093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2050239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2114519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2337272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3398645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2664490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4862548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3037519</w:t>
            </w: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Вычисляем бездисконтный и дисконтированный срок окупаемости комплекса энергосберегающих мероприятий по </w:t>
      </w:r>
      <w:r w:rsidRPr="002C56FB">
        <w:t>формуле (3)</w:t>
      </w:r>
      <w:r w:rsidRPr="002C56FB">
        <w:t>: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t>T</w:t>
      </w:r>
      <w:r w:rsidRPr="002C56FB">
        <w:rPr>
          <w:vertAlign w:val="subscript"/>
        </w:rPr>
        <w:t>0</w:t>
      </w:r>
      <w:r w:rsidRPr="002C56FB">
        <w:t xml:space="preserve"> = 1798455/988093 = 1,82 года;</w:t>
      </w:r>
    </w:p>
    <w:p w:rsidR="00000000" w:rsidRPr="002C56FB" w:rsidRDefault="002C56FB">
      <w:pPr>
        <w:pStyle w:val="ConsPlusNormal"/>
        <w:ind w:firstLine="27pt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27"/>
        </w:rPr>
        <w:drawing>
          <wp:inline distT="0" distB="0" distL="0" distR="0">
            <wp:extent cx="2476500" cy="476250"/>
            <wp:effectExtent l="0" t="0" r="0" b="0"/>
            <wp:docPr id="40" name="Рисунок 4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Таким образом, величина T</w:t>
      </w:r>
      <w:r w:rsidRPr="002C56FB">
        <w:rPr>
          <w:vertAlign w:val="subscript"/>
        </w:rPr>
        <w:t>ок</w:t>
      </w:r>
      <w:r w:rsidRPr="002C56FB">
        <w:t xml:space="preserve"> намного меньше как расчетного срока службы здания, так и расчетного срока службы компонентов его инженерных систем </w:t>
      </w:r>
      <w:r w:rsidRPr="002C56FB">
        <w:t>(Приложение Б)</w:t>
      </w:r>
      <w:r w:rsidRPr="002C56FB">
        <w:t>. Поэтому к дальнейшей разработке принимаем Вариант II. Строим графики зависимости СДЗ от T для сравниваемых вариантов (рисунок В.1).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190"/>
        </w:rPr>
        <w:drawing>
          <wp:inline distT="0" distB="0" distL="0" distR="0">
            <wp:extent cx="4143375" cy="2543175"/>
            <wp:effectExtent l="0" t="0" r="0" b="0"/>
            <wp:docPr id="41" name="Рисунок 4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t>Рисунок В.1. Зависимость СДЗ от T для сравниваемых вариантов</w:t>
      </w:r>
    </w:p>
    <w:p w:rsidR="00000000" w:rsidRPr="002C56FB" w:rsidRDefault="002C56FB">
      <w:pPr>
        <w:pStyle w:val="ConsPlusNormal"/>
        <w:jc w:val="center"/>
      </w:pPr>
      <w:r w:rsidRPr="002C56FB">
        <w:t xml:space="preserve">при дисконтировании </w:t>
      </w:r>
      <w:r w:rsidRPr="002C56FB">
        <w:t>промежуточных доходов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Вычисляем СДЗ для обоих вариантов по </w:t>
      </w:r>
      <w:r w:rsidRPr="002C56FB">
        <w:t>формуле (6)</w:t>
      </w:r>
      <w:r w:rsidRPr="002C56FB">
        <w:t xml:space="preserve"> при условии капитализации промежуточных доходов и заполняем таблицу В.5. В силу того, что Э</w:t>
      </w:r>
      <w:r w:rsidRPr="002C56FB">
        <w:rPr>
          <w:vertAlign w:val="subscript"/>
        </w:rPr>
        <w:t>2</w:t>
      </w:r>
      <w:r w:rsidRPr="002C56FB">
        <w:t xml:space="preserve"> = 0, в данном случае </w:t>
      </w:r>
      <w:r w:rsidRPr="002C56FB">
        <w:rPr>
          <w:noProof/>
          <w:position w:val="-9"/>
        </w:rPr>
        <w:drawing>
          <wp:inline distT="0" distB="0" distL="0" distR="0">
            <wp:extent cx="1362075" cy="247650"/>
            <wp:effectExtent l="0" t="0" r="0" b="0"/>
            <wp:docPr id="42" name="Рисунок 4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 xml:space="preserve"> </w:t>
      </w:r>
      <w:r w:rsidRPr="002C56FB">
        <w:t>при любых T.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end"/>
      </w:pPr>
      <w:r w:rsidRPr="002C56FB">
        <w:t>Таблица В.5</w:t>
      </w:r>
    </w:p>
    <w:p w:rsidR="00000000" w:rsidRPr="002C56FB" w:rsidRDefault="002C56FB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1860"/>
        <w:gridCol w:w="3000"/>
        <w:gridCol w:w="3120"/>
      </w:tblGrid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T, лет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СДЗ</w:t>
            </w:r>
            <w:r w:rsidRPr="002C56FB">
              <w:rPr>
                <w:vertAlign w:val="subscript"/>
              </w:rPr>
              <w:t>1</w:t>
            </w:r>
            <w:r w:rsidRPr="002C56FB">
              <w:t>, руб.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СДЗ</w:t>
            </w:r>
            <w:r w:rsidRPr="002C56FB">
              <w:rPr>
                <w:vertAlign w:val="subscript"/>
              </w:rPr>
              <w:t>2</w:t>
            </w:r>
            <w:r w:rsidRPr="002C56FB">
              <w:t>, руб.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0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1798455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988093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1798455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2114519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1798455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3398645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1798455</w:t>
            </w:r>
          </w:p>
        </w:tc>
      </w:tr>
      <w:tr w:rsidR="002C56FB" w:rsidRPr="002C56FB">
        <w:tc>
          <w:tcPr>
            <w:tcW w:w="9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</w:t>
            </w:r>
          </w:p>
        </w:tc>
        <w:tc>
          <w:tcPr>
            <w:tcW w:w="1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4862548</w:t>
            </w:r>
          </w:p>
        </w:tc>
        <w:tc>
          <w:tcPr>
            <w:tcW w:w="156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000000" w:rsidRPr="002C56FB" w:rsidRDefault="002C56FB">
            <w:pPr>
              <w:pStyle w:val="ConsPlusNormal"/>
              <w:jc w:val="center"/>
            </w:pPr>
            <w:r w:rsidRPr="002C56FB">
              <w:t>1798455</w:t>
            </w:r>
          </w:p>
        </w:tc>
      </w:tr>
    </w:tbl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 xml:space="preserve">Вычисляем дисконтированный срок окупаемости комплекса энергосберегающих мероприятий по </w:t>
      </w:r>
      <w:r w:rsidRPr="002C56FB">
        <w:t>формуле (8)</w:t>
      </w:r>
      <w:r w:rsidRPr="002C56FB">
        <w:t>: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27"/>
        </w:rPr>
        <w:drawing>
          <wp:inline distT="0" distB="0" distL="0" distR="0">
            <wp:extent cx="2371725" cy="476250"/>
            <wp:effectExtent l="0" t="0" r="0" b="0"/>
            <wp:docPr id="43" name="Рисунок 4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6FB">
        <w:t>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  <w:r w:rsidRPr="002C56FB">
        <w:t>Таким образом, величина T</w:t>
      </w:r>
      <w:r w:rsidRPr="002C56FB">
        <w:rPr>
          <w:vertAlign w:val="subscript"/>
        </w:rPr>
        <w:t>ок</w:t>
      </w:r>
      <w:r w:rsidRPr="002C56FB">
        <w:t xml:space="preserve"> и здесь намного меньше расчетного срока службы как здания, так и </w:t>
      </w:r>
      <w:r w:rsidRPr="002C56FB">
        <w:lastRenderedPageBreak/>
        <w:t xml:space="preserve">компонентов его инженерных систем </w:t>
      </w:r>
      <w:r w:rsidRPr="002C56FB">
        <w:t>(Приложение Б)</w:t>
      </w:r>
      <w:r w:rsidRPr="002C56FB">
        <w:t>. Поэтому к дальнейшей разработке принимаем Вариант II. Строим графики зависимости СДЗ от T для сравниваемых вариантов (рисунок В.2).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rPr>
          <w:noProof/>
          <w:position w:val="-169"/>
        </w:rPr>
        <w:drawing>
          <wp:inline distT="0" distB="0" distL="0" distR="0">
            <wp:extent cx="3676650" cy="2276475"/>
            <wp:effectExtent l="0" t="0" r="0" b="0"/>
            <wp:docPr id="44" name="Рисунок 4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jc w:val="center"/>
      </w:pPr>
      <w:r w:rsidRPr="002C56FB">
        <w:t>Рисунок В.2. Зависимость СДЗ от T для сравниваемых вариантов</w:t>
      </w:r>
    </w:p>
    <w:p w:rsidR="00000000" w:rsidRPr="002C56FB" w:rsidRDefault="002C56FB">
      <w:pPr>
        <w:pStyle w:val="ConsPlusNormal"/>
        <w:jc w:val="center"/>
      </w:pPr>
      <w:r w:rsidRPr="002C56FB">
        <w:t>при ка</w:t>
      </w:r>
      <w:r w:rsidRPr="002C56FB">
        <w:t>питализации промежуточных доходов</w:t>
      </w: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ind w:firstLine="27pt"/>
        <w:jc w:val="both"/>
      </w:pPr>
    </w:p>
    <w:p w:rsidR="00000000" w:rsidRPr="002C56FB" w:rsidRDefault="002C56FB">
      <w:pPr>
        <w:pStyle w:val="ConsPlusNormal"/>
        <w:pBdr>
          <w:top w:val="single" w:sz="6" w:space="0" w:color="auto"/>
        </w:pBdr>
        <w:spacing w:before="5pt" w:after="5pt"/>
        <w:jc w:val="both"/>
        <w:rPr>
          <w:sz w:val="2"/>
          <w:szCs w:val="2"/>
        </w:rPr>
      </w:pPr>
    </w:p>
    <w:sectPr w:rsidR="00000000" w:rsidRPr="002C56FB">
      <w:headerReference w:type="default" r:id="rId44"/>
      <w:footerReference w:type="default" r:id="rId45"/>
      <w:pgSz w:w="595.30pt" w:h="841.90pt"/>
      <w:pgMar w:top="72pt" w:right="28.30pt" w:bottom="72pt" w:left="56.65pt" w:header="0pt" w:footer="0pt" w:gutter="0pt"/>
      <w:cols w:space="36pt"/>
      <w:noEndnote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000000" w:rsidRDefault="002C56FB">
      <w:pPr>
        <w:spacing w:after="0pt" w:line="12pt" w:lineRule="auto"/>
      </w:pPr>
      <w:r>
        <w:separator/>
      </w:r>
    </w:p>
  </w:endnote>
  <w:endnote w:type="continuationSeparator" w:id="0">
    <w:p w:rsidR="00000000" w:rsidRDefault="002C56FB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characterSet="windows-125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characterSet="windows-125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characterSet="windows-125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00000" w:rsidRDefault="002C56FB">
    <w:pPr>
      <w:pStyle w:val="ConsPlusNormal"/>
      <w:rPr>
        <w:sz w:val="2"/>
        <w:szCs w:val="2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000000" w:rsidRDefault="002C56FB">
      <w:pPr>
        <w:spacing w:after="0pt" w:line="12pt" w:lineRule="auto"/>
      </w:pPr>
      <w:r>
        <w:separator/>
      </w:r>
    </w:p>
  </w:footnote>
  <w:footnote w:type="continuationSeparator" w:id="0">
    <w:p w:rsidR="00000000" w:rsidRDefault="002C56FB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00000" w:rsidRDefault="002C56F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%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36pt"/>
  <w:drawingGridHorizontalSpacing w:val="6pt"/>
  <w:drawingGridVerticalSpacing w:val="6pt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FB"/>
    <w:rsid w:val="002C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23A6895A"/>
  <w14:defaultImageDpi w14:val="0"/>
  <w15:docId w15:val="{2B71A49B-C296-42C8-82D8-CCE578C5FB8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C56FB"/>
    <w:pPr>
      <w:tabs>
        <w:tab w:val="center" w:pos="233.85pt"/>
        <w:tab w:val="end" w:pos="467.75pt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56FB"/>
  </w:style>
  <w:style w:type="paragraph" w:styleId="a5">
    <w:name w:val="footer"/>
    <w:basedOn w:val="a"/>
    <w:link w:val="a6"/>
    <w:uiPriority w:val="99"/>
    <w:unhideWhenUsed/>
    <w:rsid w:val="002C56FB"/>
    <w:pPr>
      <w:tabs>
        <w:tab w:val="center" w:pos="233.85pt"/>
        <w:tab w:val="end" w:pos="467.75pt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56FB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purl.oclc.org/ooxml/officeDocument/relationships/image" Target="media/image8.wmf"/><Relationship Id="rId18" Type="http://purl.oclc.org/ooxml/officeDocument/relationships/image" Target="media/image13.wmf"/><Relationship Id="rId26" Type="http://purl.oclc.org/ooxml/officeDocument/relationships/image" Target="media/image21.wmf"/><Relationship Id="rId39" Type="http://purl.oclc.org/ooxml/officeDocument/relationships/image" Target="media/image34.wmf"/><Relationship Id="rId21" Type="http://purl.oclc.org/ooxml/officeDocument/relationships/image" Target="media/image16.wmf"/><Relationship Id="rId34" Type="http://purl.oclc.org/ooxml/officeDocument/relationships/image" Target="media/image29.wmf"/><Relationship Id="rId42" Type="http://purl.oclc.org/ooxml/officeDocument/relationships/image" Target="media/image37.wmf"/><Relationship Id="rId47" Type="http://purl.oclc.org/ooxml/officeDocument/relationships/theme" Target="theme/theme1.xml"/><Relationship Id="rId7" Type="http://purl.oclc.org/ooxml/officeDocument/relationships/image" Target="media/image2.wmf"/><Relationship Id="rId2" Type="http://purl.oclc.org/ooxml/officeDocument/relationships/settings" Target="settings.xml"/><Relationship Id="rId16" Type="http://purl.oclc.org/ooxml/officeDocument/relationships/image" Target="media/image11.wmf"/><Relationship Id="rId29" Type="http://purl.oclc.org/ooxml/officeDocument/relationships/image" Target="media/image24.wmf"/><Relationship Id="rId1" Type="http://purl.oclc.org/ooxml/officeDocument/relationships/styles" Target="styles.xml"/><Relationship Id="rId6" Type="http://purl.oclc.org/ooxml/officeDocument/relationships/image" Target="media/image1.wmf"/><Relationship Id="rId11" Type="http://purl.oclc.org/ooxml/officeDocument/relationships/image" Target="media/image6.wmf"/><Relationship Id="rId24" Type="http://purl.oclc.org/ooxml/officeDocument/relationships/image" Target="media/image19.wmf"/><Relationship Id="rId32" Type="http://purl.oclc.org/ooxml/officeDocument/relationships/image" Target="media/image27.wmf"/><Relationship Id="rId37" Type="http://purl.oclc.org/ooxml/officeDocument/relationships/image" Target="media/image32.wmf"/><Relationship Id="rId40" Type="http://purl.oclc.org/ooxml/officeDocument/relationships/image" Target="media/image35.png"/><Relationship Id="rId45" Type="http://purl.oclc.org/ooxml/officeDocument/relationships/footer" Target="footer1.xml"/><Relationship Id="rId5" Type="http://purl.oclc.org/ooxml/officeDocument/relationships/endnotes" Target="endnotes.xml"/><Relationship Id="rId15" Type="http://purl.oclc.org/ooxml/officeDocument/relationships/image" Target="media/image10.wmf"/><Relationship Id="rId23" Type="http://purl.oclc.org/ooxml/officeDocument/relationships/image" Target="media/image18.wmf"/><Relationship Id="rId28" Type="http://purl.oclc.org/ooxml/officeDocument/relationships/image" Target="media/image23.wmf"/><Relationship Id="rId36" Type="http://purl.oclc.org/ooxml/officeDocument/relationships/image" Target="media/image31.wmf"/><Relationship Id="rId10" Type="http://purl.oclc.org/ooxml/officeDocument/relationships/image" Target="media/image5.wmf"/><Relationship Id="rId19" Type="http://purl.oclc.org/ooxml/officeDocument/relationships/image" Target="media/image14.wmf"/><Relationship Id="rId31" Type="http://purl.oclc.org/ooxml/officeDocument/relationships/image" Target="media/image26.wmf"/><Relationship Id="rId44" Type="http://purl.oclc.org/ooxml/officeDocument/relationships/header" Target="header1.xml"/><Relationship Id="rId4" Type="http://purl.oclc.org/ooxml/officeDocument/relationships/footnotes" Target="footnotes.xml"/><Relationship Id="rId9" Type="http://purl.oclc.org/ooxml/officeDocument/relationships/image" Target="media/image4.wmf"/><Relationship Id="rId14" Type="http://purl.oclc.org/ooxml/officeDocument/relationships/image" Target="media/image9.wmf"/><Relationship Id="rId22" Type="http://purl.oclc.org/ooxml/officeDocument/relationships/image" Target="media/image17.wmf"/><Relationship Id="rId27" Type="http://purl.oclc.org/ooxml/officeDocument/relationships/image" Target="media/image22.wmf"/><Relationship Id="rId30" Type="http://purl.oclc.org/ooxml/officeDocument/relationships/image" Target="media/image25.wmf"/><Relationship Id="rId35" Type="http://purl.oclc.org/ooxml/officeDocument/relationships/image" Target="media/image30.wmf"/><Relationship Id="rId43" Type="http://purl.oclc.org/ooxml/officeDocument/relationships/image" Target="media/image38.png"/><Relationship Id="rId8" Type="http://purl.oclc.org/ooxml/officeDocument/relationships/image" Target="media/image3.wmf"/><Relationship Id="rId3" Type="http://purl.oclc.org/ooxml/officeDocument/relationships/webSettings" Target="webSettings.xml"/><Relationship Id="rId12" Type="http://purl.oclc.org/ooxml/officeDocument/relationships/image" Target="media/image7.wmf"/><Relationship Id="rId17" Type="http://purl.oclc.org/ooxml/officeDocument/relationships/image" Target="media/image12.wmf"/><Relationship Id="rId25" Type="http://purl.oclc.org/ooxml/officeDocument/relationships/image" Target="media/image20.wmf"/><Relationship Id="rId33" Type="http://purl.oclc.org/ooxml/officeDocument/relationships/image" Target="media/image28.wmf"/><Relationship Id="rId38" Type="http://purl.oclc.org/ooxml/officeDocument/relationships/image" Target="media/image33.wmf"/><Relationship Id="rId46" Type="http://purl.oclc.org/ooxml/officeDocument/relationships/fontTable" Target="fontTable.xml"/><Relationship Id="rId20" Type="http://purl.oclc.org/ooxml/officeDocument/relationships/image" Target="media/image15.wmf"/><Relationship Id="rId41" Type="http://purl.oclc.org/ooxml/officeDocument/relationships/image" Target="media/image36.wmf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15</Pages>
  <Words>3625</Words>
  <Characters>20667</Characters>
  <Application>Microsoft Office Word</Application>
  <DocSecurity>2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"ГОСТ Р 56295-2014. Национальный стандарт Российской Федерации. Энергоэффективность зданий. Методика экономической оценки энергетических систем в зданиях"(утв. и введен в действие Приказом Росстандарта от 11.12.2014 N 1967-ст)</vt:lpstr>
    </vt:vector>
  </TitlesOfParts>
  <Company>КонсультантПлюс Версия 4020.00.61</Company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"ГОСТ Р 56295-2014. Национальный стандарт Российской Федерации. Энергоэффективность зданий. Методика экономической оценки энергетических систем в зданиях"(утв. и введен в действие Приказом Росстандарта от 11.12.2014 N 1967-ст)</dc:title>
  <dc:subject/>
  <dc:creator>Марк Панов</dc:creator>
  <cp:keywords/>
  <dc:description/>
  <cp:lastModifiedBy>Марк Панов</cp:lastModifiedBy>
  <cp:revision>2</cp:revision>
  <dcterms:created xsi:type="dcterms:W3CDTF">2021-03-04T04:34:00Z</dcterms:created>
  <dcterms:modified xsi:type="dcterms:W3CDTF">2021-03-04T04:34:00Z</dcterms:modified>
</cp:coreProperties>
</file>