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7F" w:rsidRDefault="001448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487F" w:rsidRDefault="0014487F">
      <w:pPr>
        <w:pStyle w:val="ConsPlusNormal"/>
        <w:jc w:val="both"/>
        <w:outlineLvl w:val="0"/>
      </w:pPr>
    </w:p>
    <w:p w:rsidR="0014487F" w:rsidRDefault="0014487F">
      <w:pPr>
        <w:pStyle w:val="ConsPlusTitle"/>
        <w:jc w:val="center"/>
        <w:outlineLvl w:val="0"/>
      </w:pPr>
      <w:r>
        <w:t>МИНИСТЕРСТВО ЭКОНОМИЧЕСКОГО РАЗВИТИЯ РОССИЙСКОЙ ФЕДЕРАЦИИ</w:t>
      </w:r>
    </w:p>
    <w:p w:rsidR="0014487F" w:rsidRDefault="0014487F">
      <w:pPr>
        <w:pStyle w:val="ConsPlusTitle"/>
        <w:jc w:val="both"/>
      </w:pPr>
    </w:p>
    <w:p w:rsidR="0014487F" w:rsidRDefault="0014487F">
      <w:pPr>
        <w:pStyle w:val="ConsPlusTitle"/>
        <w:jc w:val="center"/>
      </w:pPr>
      <w:r>
        <w:t>ПРИКАЗ</w:t>
      </w:r>
    </w:p>
    <w:p w:rsidR="0014487F" w:rsidRDefault="0014487F">
      <w:pPr>
        <w:pStyle w:val="ConsPlusTitle"/>
        <w:jc w:val="center"/>
      </w:pPr>
      <w:r>
        <w:t>от 13 мая 2021 г. N 263</w:t>
      </w:r>
    </w:p>
    <w:p w:rsidR="0014487F" w:rsidRDefault="0014487F">
      <w:pPr>
        <w:pStyle w:val="ConsPlusTitle"/>
        <w:jc w:val="both"/>
      </w:pPr>
    </w:p>
    <w:p w:rsidR="0014487F" w:rsidRDefault="0014487F">
      <w:pPr>
        <w:pStyle w:val="ConsPlusTitle"/>
        <w:jc w:val="center"/>
      </w:pPr>
      <w:r>
        <w:t>О ВНЕСЕНИИ ИЗМЕНЕНИЙ</w:t>
      </w:r>
    </w:p>
    <w:p w:rsidR="0014487F" w:rsidRDefault="0014487F">
      <w:pPr>
        <w:pStyle w:val="ConsPlusTitle"/>
        <w:jc w:val="center"/>
      </w:pPr>
      <w:r>
        <w:t>В ПРИКАЗ МИНЭКОНОМРАЗВИТИЯ РОССИИ ОТ 15 ИЮЛЯ 2020 Г. N 425</w:t>
      </w:r>
    </w:p>
    <w:p w:rsidR="0014487F" w:rsidRDefault="0014487F">
      <w:pPr>
        <w:pStyle w:val="ConsPlusTitle"/>
        <w:jc w:val="center"/>
      </w:pPr>
      <w:r>
        <w:t>"ОБ УТВЕРЖДЕНИИ МЕТОДИЧЕСКИХ РЕКОМЕНДАЦИЙ ПО ОПРЕДЕЛЕНИЮ</w:t>
      </w:r>
    </w:p>
    <w:p w:rsidR="0014487F" w:rsidRDefault="0014487F">
      <w:pPr>
        <w:pStyle w:val="ConsPlusTitle"/>
        <w:jc w:val="center"/>
      </w:pPr>
      <w:r>
        <w:t>В СОПОСТАВИМЫХ УСЛОВИЯХ ЦЕЛЕВОГО УРОВНЯ СНИЖЕНИЯ</w:t>
      </w:r>
    </w:p>
    <w:p w:rsidR="0014487F" w:rsidRDefault="0014487F">
      <w:pPr>
        <w:pStyle w:val="ConsPlusTitle"/>
        <w:jc w:val="center"/>
      </w:pPr>
      <w:r>
        <w:t>ГОСУДАРСТВЕННЫМИ (МУНИЦИПАЛЬНЫМИ) УЧРЕЖДЕНИЯМИ СУММАРНОГО</w:t>
      </w:r>
    </w:p>
    <w:p w:rsidR="0014487F" w:rsidRDefault="0014487F">
      <w:pPr>
        <w:pStyle w:val="ConsPlusTitle"/>
        <w:jc w:val="center"/>
      </w:pPr>
      <w:r>
        <w:t>ОБЪЕМА ПОТРЕБЛЯЕМЫХ ИМИ ДИЗЕЛЬНОГО И ИНОГО ТОПЛИВА, МАЗУТА,</w:t>
      </w:r>
    </w:p>
    <w:p w:rsidR="0014487F" w:rsidRDefault="0014487F">
      <w:pPr>
        <w:pStyle w:val="ConsPlusTitle"/>
        <w:jc w:val="center"/>
      </w:pPr>
      <w:r>
        <w:t>ПРИРОДНОГО ГАЗА, ТЕПЛОВОЙ ЭНЕРГИИ, ЭЛЕКТРИЧЕСКОЙ ЭНЕРГИИ,</w:t>
      </w:r>
    </w:p>
    <w:p w:rsidR="0014487F" w:rsidRDefault="0014487F">
      <w:pPr>
        <w:pStyle w:val="ConsPlusTitle"/>
        <w:jc w:val="center"/>
      </w:pPr>
      <w:r>
        <w:t>УГЛЯ, А ТАКЖЕ ОБЪЕМА ПОТРЕБЛЯЕМОЙ ИМИ ВОДЫ"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приказ</w:t>
        </w:r>
      </w:hyperlink>
      <w:r>
        <w:t xml:space="preserve"> Минэкономразвития России от 15 июля 2020 г. N 425 "Об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 изменения согласно </w:t>
      </w:r>
      <w:hyperlink w:anchor="P28" w:history="1">
        <w:r>
          <w:rPr>
            <w:color w:val="0000FF"/>
          </w:rPr>
          <w:t>приложению</w:t>
        </w:r>
      </w:hyperlink>
      <w:r>
        <w:t>.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right"/>
      </w:pPr>
      <w:r>
        <w:t>Министр</w:t>
      </w:r>
    </w:p>
    <w:p w:rsidR="0014487F" w:rsidRDefault="0014487F">
      <w:pPr>
        <w:pStyle w:val="ConsPlusNormal"/>
        <w:jc w:val="right"/>
      </w:pPr>
      <w:r>
        <w:t>М.Г.РЕШЕТНИКОВ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right"/>
        <w:outlineLvl w:val="0"/>
      </w:pPr>
      <w:r>
        <w:t>Приложение</w:t>
      </w:r>
    </w:p>
    <w:p w:rsidR="0014487F" w:rsidRDefault="0014487F">
      <w:pPr>
        <w:pStyle w:val="ConsPlusNormal"/>
        <w:jc w:val="right"/>
      </w:pPr>
      <w:r>
        <w:t>к приказу Минэкономразвития России</w:t>
      </w:r>
    </w:p>
    <w:p w:rsidR="0014487F" w:rsidRDefault="0014487F">
      <w:pPr>
        <w:pStyle w:val="ConsPlusNormal"/>
        <w:jc w:val="right"/>
      </w:pPr>
      <w:r>
        <w:t>от 13.05.2021 N 263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Title"/>
        <w:jc w:val="center"/>
      </w:pPr>
      <w:bookmarkStart w:id="0" w:name="P28"/>
      <w:bookmarkEnd w:id="0"/>
      <w:r>
        <w:t>ИЗМЕНЕНИЯ,</w:t>
      </w:r>
    </w:p>
    <w:p w:rsidR="0014487F" w:rsidRDefault="0014487F">
      <w:pPr>
        <w:pStyle w:val="ConsPlusTitle"/>
        <w:jc w:val="center"/>
      </w:pPr>
      <w:r>
        <w:t>КОТОРЫЕ ВНОСЯТСЯ В ПРИКАЗ МИНЭКОНОМРАЗВИТИЯ РОССИИ</w:t>
      </w:r>
    </w:p>
    <w:p w:rsidR="0014487F" w:rsidRDefault="0014487F">
      <w:pPr>
        <w:pStyle w:val="ConsPlusTitle"/>
        <w:jc w:val="center"/>
      </w:pPr>
      <w:r>
        <w:t>ОТ 15 ИЮЛЯ 2020 Г. N 425 "ОБ УТВЕРЖДЕНИИ МЕТОДИЧЕСКИХ</w:t>
      </w:r>
    </w:p>
    <w:p w:rsidR="0014487F" w:rsidRDefault="0014487F">
      <w:pPr>
        <w:pStyle w:val="ConsPlusTitle"/>
        <w:jc w:val="center"/>
      </w:pPr>
      <w:r>
        <w:t>РЕКОМЕНДАЦИЙ ПО ОПРЕДЕЛЕНИЮ В СОПОСТАВИМЫХ УСЛОВИЯХ</w:t>
      </w:r>
    </w:p>
    <w:p w:rsidR="0014487F" w:rsidRDefault="0014487F">
      <w:pPr>
        <w:pStyle w:val="ConsPlusTitle"/>
        <w:jc w:val="center"/>
      </w:pPr>
      <w:r>
        <w:t>ЦЕЛЕВОГО УРОВНЯ СНИЖЕНИЯ ГОСУДАРСТВЕННЫМИ (МУНИЦИПАЛЬНЫМИ)</w:t>
      </w:r>
    </w:p>
    <w:p w:rsidR="0014487F" w:rsidRDefault="0014487F">
      <w:pPr>
        <w:pStyle w:val="ConsPlusTitle"/>
        <w:jc w:val="center"/>
      </w:pPr>
      <w:r>
        <w:t>УЧРЕЖДЕНИЯМИ СУММАРНОГО ОБЪЕМА ПОТРЕБЛЯЕМЫХ ИМИ ДИЗЕЛЬНОГО</w:t>
      </w:r>
    </w:p>
    <w:p w:rsidR="0014487F" w:rsidRDefault="0014487F">
      <w:pPr>
        <w:pStyle w:val="ConsPlusTitle"/>
        <w:jc w:val="center"/>
      </w:pPr>
      <w:r>
        <w:t>И ИНОГО ТОПЛИВА, МАЗУТА, ПРИРОДНОГО ГАЗА, ТЕПЛОВОЙ</w:t>
      </w:r>
    </w:p>
    <w:p w:rsidR="0014487F" w:rsidRDefault="0014487F">
      <w:pPr>
        <w:pStyle w:val="ConsPlusTitle"/>
        <w:jc w:val="center"/>
      </w:pPr>
      <w:r>
        <w:t>ЭНЕРГИИ, ЭЛЕКТРИЧЕСКОЙ ЭНЕРГИИ, УГЛЯ, А ТАКЖЕ</w:t>
      </w:r>
    </w:p>
    <w:p w:rsidR="0014487F" w:rsidRDefault="0014487F">
      <w:pPr>
        <w:pStyle w:val="ConsPlusTitle"/>
        <w:jc w:val="center"/>
      </w:pPr>
      <w:r>
        <w:t>ОБЪЕМА ПОТРЕБЛЯЕМОЙ ИМИ ВОДЫ"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ind w:firstLine="540"/>
        <w:jc w:val="both"/>
      </w:pPr>
      <w:r>
        <w:t xml:space="preserve">1. </w:t>
      </w:r>
      <w:hyperlink r:id="rId6" w:history="1">
        <w:r>
          <w:rPr>
            <w:color w:val="0000FF"/>
          </w:rPr>
          <w:t>Пункт 1</w:t>
        </w:r>
      </w:hyperlink>
      <w:r>
        <w:t xml:space="preserve"> дополнить словами "(далее - методические рекомендации)".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Дополнить</w:t>
        </w:r>
      </w:hyperlink>
      <w:r>
        <w:t xml:space="preserve"> пунктом 3 следующего содержания: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>"3. Департаменту конкуренции, энергоэффективности и экологии (П.М. Бобылев) ежегодно до 31 марта года, следующего за отчетным, осуществлять: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>в соответствии с методическими рекомендациями расчет значений градусо-суток отопительного периода для субъектов Российской Федерации за предыдущий календарный год и дополнение ими приложения N 2 к методическим рекомендациям;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lastRenderedPageBreak/>
        <w:t>актуализацию указанных значений в автоматизированной расчетной форме для определения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воды.".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 xml:space="preserve">3.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пунктом 4 следующего содержания: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 xml:space="preserve">"4. Установить, что положения пункта 3 настоящего приказа с целью определения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 </w:t>
      </w:r>
      <w:proofErr w:type="gramStart"/>
      <w:r>
        <w:t>применяются</w:t>
      </w:r>
      <w:proofErr w:type="gramEnd"/>
      <w:r>
        <w:t xml:space="preserve"> начиная с отчетного 2021 года.".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 xml:space="preserve">4. В </w:t>
      </w:r>
      <w:hyperlink r:id="rId9" w:history="1">
        <w:r>
          <w:rPr>
            <w:color w:val="0000FF"/>
          </w:rPr>
          <w:t>приложении N 2</w:t>
        </w:r>
      </w:hyperlink>
      <w:r>
        <w:t xml:space="preserve"> к методическим рекомендациям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воды, утвержденным указанным приказом: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 xml:space="preserve">1) </w:t>
      </w:r>
      <w:hyperlink r:id="rId10" w:history="1">
        <w:r>
          <w:rPr>
            <w:color w:val="0000FF"/>
          </w:rPr>
          <w:t>абзац пятнадцатый</w:t>
        </w:r>
      </w:hyperlink>
      <w:r>
        <w:t xml:space="preserve"> изложить в следующей редакции: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>"Значения ГСОП для соответствующего года представлены в таблицах П2-2 и П2-3 и оценены по выборке температур архива погоды.";</w:t>
      </w:r>
    </w:p>
    <w:p w:rsidR="0014487F" w:rsidRDefault="0014487F">
      <w:pPr>
        <w:pStyle w:val="ConsPlusNormal"/>
        <w:spacing w:before="22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таблицей П2-3 "Градусо-сутки отопительного периода за 2020 год для субъектов Российской Федерации (°C x сутки)" следующего содержания: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right"/>
      </w:pPr>
      <w:r>
        <w:t>"Таблица П2-3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center"/>
      </w:pPr>
      <w:r>
        <w:t>Градусо-сутки отопительного периода за 2020 год</w:t>
      </w:r>
    </w:p>
    <w:p w:rsidR="0014487F" w:rsidRDefault="0014487F">
      <w:pPr>
        <w:pStyle w:val="ConsPlusNormal"/>
        <w:jc w:val="center"/>
      </w:pPr>
      <w:r>
        <w:t>для субъектов Российской Федерации (°C x сутки)</w:t>
      </w:r>
    </w:p>
    <w:p w:rsidR="0014487F" w:rsidRDefault="001448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345"/>
        <w:gridCol w:w="1304"/>
        <w:gridCol w:w="1247"/>
        <w:gridCol w:w="1304"/>
        <w:gridCol w:w="1191"/>
      </w:tblGrid>
      <w:tr w:rsidR="0014487F">
        <w:tc>
          <w:tcPr>
            <w:tcW w:w="680" w:type="dxa"/>
            <w:vMerge w:val="restart"/>
          </w:tcPr>
          <w:p w:rsidR="0014487F" w:rsidRDefault="0014487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3345" w:type="dxa"/>
            <w:vMerge w:val="restart"/>
          </w:tcPr>
          <w:p w:rsidR="0014487F" w:rsidRDefault="0014487F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5046" w:type="dxa"/>
            <w:gridSpan w:val="4"/>
          </w:tcPr>
          <w:p w:rsidR="0014487F" w:rsidRDefault="0014487F">
            <w:pPr>
              <w:pStyle w:val="ConsPlusNormal"/>
              <w:jc w:val="center"/>
            </w:pPr>
            <w:r>
              <w:t>При температуре воздуха внутри помещений (в соответствии с таблицей П2-1)</w:t>
            </w:r>
          </w:p>
        </w:tc>
      </w:tr>
      <w:tr w:rsidR="0014487F">
        <w:tc>
          <w:tcPr>
            <w:tcW w:w="680" w:type="dxa"/>
            <w:vMerge/>
          </w:tcPr>
          <w:p w:rsidR="0014487F" w:rsidRDefault="0014487F">
            <w:pPr>
              <w:spacing w:after="1" w:line="0" w:lineRule="atLeast"/>
            </w:pPr>
          </w:p>
        </w:tc>
        <w:tc>
          <w:tcPr>
            <w:tcW w:w="3345" w:type="dxa"/>
            <w:vMerge/>
          </w:tcPr>
          <w:p w:rsidR="0014487F" w:rsidRDefault="0014487F">
            <w:pPr>
              <w:spacing w:after="1" w:line="0" w:lineRule="atLeast"/>
            </w:pPr>
          </w:p>
        </w:tc>
        <w:tc>
          <w:tcPr>
            <w:tcW w:w="1304" w:type="dxa"/>
          </w:tcPr>
          <w:p w:rsidR="0014487F" w:rsidRDefault="0014487F">
            <w:pPr>
              <w:pStyle w:val="ConsPlusNormal"/>
              <w:jc w:val="center"/>
            </w:pPr>
            <w:r>
              <w:t>18 °C</w:t>
            </w:r>
          </w:p>
        </w:tc>
        <w:tc>
          <w:tcPr>
            <w:tcW w:w="1247" w:type="dxa"/>
          </w:tcPr>
          <w:p w:rsidR="0014487F" w:rsidRDefault="0014487F">
            <w:pPr>
              <w:pStyle w:val="ConsPlusNormal"/>
              <w:jc w:val="center"/>
            </w:pPr>
            <w:r>
              <w:t>20 °C</w:t>
            </w:r>
          </w:p>
        </w:tc>
        <w:tc>
          <w:tcPr>
            <w:tcW w:w="1304" w:type="dxa"/>
          </w:tcPr>
          <w:p w:rsidR="0014487F" w:rsidRDefault="0014487F">
            <w:pPr>
              <w:pStyle w:val="ConsPlusNormal"/>
              <w:jc w:val="center"/>
            </w:pPr>
            <w:r>
              <w:t>21 °C</w:t>
            </w:r>
          </w:p>
        </w:tc>
        <w:tc>
          <w:tcPr>
            <w:tcW w:w="1191" w:type="dxa"/>
          </w:tcPr>
          <w:p w:rsidR="0014487F" w:rsidRDefault="0014487F">
            <w:pPr>
              <w:pStyle w:val="ConsPlusNormal"/>
              <w:jc w:val="center"/>
            </w:pPr>
            <w:r>
              <w:t>24 °C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Адыгея (Адыгея)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1 732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1 962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2 077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2 422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3 995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4 373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4 562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5 129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5 699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6 117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6 326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6 953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Алтай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4 581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4 991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5 196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5 811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1 681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1 943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2 074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2 467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2 663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3 005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3 176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3 689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2 451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2 781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2 946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3 441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2 795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3 135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3 305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3 815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 xml:space="preserve">Карачаево-Черкесская </w:t>
            </w:r>
            <w:r>
              <w:lastRenderedPageBreak/>
              <w:t>Республика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lastRenderedPageBreak/>
              <w:t>2 060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2 304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2 426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2 792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3 966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4 414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4 638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5 310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Коми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4 737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5 197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5 427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6 117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3 893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4 291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4 490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5 087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3 777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4 167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4 362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4 947</w:t>
            </w:r>
          </w:p>
        </w:tc>
      </w:tr>
      <w:tr w:rsidR="0014487F">
        <w:tc>
          <w:tcPr>
            <w:tcW w:w="680" w:type="dxa"/>
            <w:vMerge w:val="restart"/>
            <w:vAlign w:val="center"/>
          </w:tcPr>
          <w:p w:rsidR="0014487F" w:rsidRDefault="0014487F">
            <w:pPr>
              <w:pStyle w:val="ConsPlusNormal"/>
            </w:pPr>
            <w:r>
              <w:t>14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Саха (Якутия) (зона 1 Якутск)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8 391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8 851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9 081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9 771</w:t>
            </w:r>
          </w:p>
        </w:tc>
      </w:tr>
      <w:tr w:rsidR="0014487F">
        <w:tc>
          <w:tcPr>
            <w:tcW w:w="680" w:type="dxa"/>
            <w:vMerge/>
          </w:tcPr>
          <w:p w:rsidR="0014487F" w:rsidRDefault="0014487F">
            <w:pPr>
              <w:spacing w:after="1" w:line="0" w:lineRule="atLeast"/>
            </w:pP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Саха (Якутия) (зона 2 - Жиганск)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8 878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9 362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9 604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10 330</w:t>
            </w:r>
          </w:p>
        </w:tc>
      </w:tr>
      <w:tr w:rsidR="0014487F">
        <w:tc>
          <w:tcPr>
            <w:tcW w:w="680" w:type="dxa"/>
            <w:vMerge/>
          </w:tcPr>
          <w:p w:rsidR="0014487F" w:rsidRDefault="0014487F">
            <w:pPr>
              <w:spacing w:after="1" w:line="0" w:lineRule="atLeast"/>
            </w:pP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Саха (Якутия) (зона 3 - Тикси)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9 417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10 117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10 467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11 517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2 050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2 292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2 413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2 776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Татарстан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3 947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4 345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4 544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5 141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Тыва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6 073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6 475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6 676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7 279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4 273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4 699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4 912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5 551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19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4 819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5 235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5 443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6 067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1 929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2 175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2 298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2 667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Чувашская Республика - Чувашия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3 916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4 314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4 513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5 110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Алтайский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4 673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5 083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5 288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5 903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1 678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1 904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2 017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2 356</w:t>
            </w:r>
          </w:p>
        </w:tc>
      </w:tr>
      <w:tr w:rsidR="0014487F">
        <w:tc>
          <w:tcPr>
            <w:tcW w:w="680" w:type="dxa"/>
            <w:vMerge w:val="restart"/>
            <w:vAlign w:val="center"/>
          </w:tcPr>
          <w:p w:rsidR="0014487F" w:rsidRDefault="0014487F">
            <w:pPr>
              <w:pStyle w:val="ConsPlusNormal"/>
            </w:pPr>
            <w:r>
              <w:t>24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Красноярский край (зона 1 - Красноярск)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4 895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5 317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5 528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6 161</w:t>
            </w:r>
          </w:p>
        </w:tc>
      </w:tr>
      <w:tr w:rsidR="0014487F">
        <w:tc>
          <w:tcPr>
            <w:tcW w:w="680" w:type="dxa"/>
            <w:vMerge/>
          </w:tcPr>
          <w:p w:rsidR="0014487F" w:rsidRDefault="0014487F">
            <w:pPr>
              <w:spacing w:after="1" w:line="0" w:lineRule="atLeast"/>
            </w:pP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Красноярский край (зона 2 - Тура)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7 437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7 905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8 139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8 841</w:t>
            </w:r>
          </w:p>
        </w:tc>
      </w:tr>
      <w:tr w:rsidR="0014487F">
        <w:tc>
          <w:tcPr>
            <w:tcW w:w="680" w:type="dxa"/>
            <w:vMerge/>
          </w:tcPr>
          <w:p w:rsidR="0014487F" w:rsidRDefault="0014487F">
            <w:pPr>
              <w:spacing w:after="1" w:line="0" w:lineRule="atLeast"/>
            </w:pP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Красноярский край (зона 3 - Норильск)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7 342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7 818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8 056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8 770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Приморский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3 711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4 057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4 230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4 749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2 552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2 884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3 050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3 548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Хабаровский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4 724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5 096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5 282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5 840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Амурская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5 199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5 597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5 796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6 393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29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4 743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5 245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5 496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6 249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2 397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2 673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2 811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3 225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2 900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3 248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3 422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3 944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Брянская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3 150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3 546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3 744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4 338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3 575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3 973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4 172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4 769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2 705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2 993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3 137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3 569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3 831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4 233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4 434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5 037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2 932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3 282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3 457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3 982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3 655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4 053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4 252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4 849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5 129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5 549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5 759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6 389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39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2 541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2 935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3 132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3 723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3 283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3 679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3 877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4 471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Камчатский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4 383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4 851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5 085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5 787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4 840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5 256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5 464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6 088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4 167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4 569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4 770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5 373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3 650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4 050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4 250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4 850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4 326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4 716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4 911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5 496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Курская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3 043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3 409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3 592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4 141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3 106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3 506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3 706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4 306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Липецкая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3 268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3 644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3 832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4 396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49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6 468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6 974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7 227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7 986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3 302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3 700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3 899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4 496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4 966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5 468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5 719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6 472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3 686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4 086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4 286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4 886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3 214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3 616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3 817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4 420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4 577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4 983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5 186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5 795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Омская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4 430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4 820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5 015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5 600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4 105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4 505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4 705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5 305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3 185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3 581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3 779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4 373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3 618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4 004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4 197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4 776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59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Пермский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4 501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4 955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5 182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5 863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3 060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3 464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3 666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4 272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lastRenderedPageBreak/>
              <w:t>61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2 020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2 250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2 365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2 710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3 382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3 778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3 976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4 570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3 602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3 966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4 148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4 694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3 333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3 695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3 876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4 419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4 668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5 106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5 325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5 982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4 412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4 864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5 090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5 768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3 204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3 602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3 801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4 398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3 290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3 662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3 848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4 406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69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Тверская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3 332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3 730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3 929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4 526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70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Томская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4 867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5 283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5 491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6 115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Тульская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3 306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3 702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3 900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4 494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Тюменская область (без ХМАО и ЯНАО)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4 625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5 079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5 306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5 987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3 859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4 249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4 444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5 029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74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4 189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4 599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4 804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5 419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75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5 810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6 236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6 449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7 088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3 504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3 904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4 104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4 704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г. Москва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3 302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3 700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3 899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4 496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78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г. Санкт-Петербург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3 106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3 506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3 706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4 306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79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4 971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5 345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5 532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6 093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83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Ненецкий автономный округ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5 734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6 256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6 517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7 300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86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  <w:jc w:val="both"/>
            </w:pPr>
            <w:r>
              <w:t>Ханты-Мансийский автономный округ - Югра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5 124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5 554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5 769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6 414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87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7 588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8 138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8 413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9 238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89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6 426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6 946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7 206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7 986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91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Республика Крым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1 576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1 804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1 918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2 260</w:t>
            </w:r>
          </w:p>
        </w:tc>
      </w:tr>
      <w:tr w:rsidR="0014487F">
        <w:tc>
          <w:tcPr>
            <w:tcW w:w="680" w:type="dxa"/>
            <w:vAlign w:val="center"/>
          </w:tcPr>
          <w:p w:rsidR="0014487F" w:rsidRDefault="0014487F">
            <w:pPr>
              <w:pStyle w:val="ConsPlusNormal"/>
            </w:pPr>
            <w:r>
              <w:t>92</w:t>
            </w:r>
          </w:p>
        </w:tc>
        <w:tc>
          <w:tcPr>
            <w:tcW w:w="3345" w:type="dxa"/>
            <w:vAlign w:val="center"/>
          </w:tcPr>
          <w:p w:rsidR="0014487F" w:rsidRDefault="0014487F">
            <w:pPr>
              <w:pStyle w:val="ConsPlusNormal"/>
            </w:pPr>
            <w:r>
              <w:t>г. Севастополь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1 257</w:t>
            </w:r>
          </w:p>
        </w:tc>
        <w:tc>
          <w:tcPr>
            <w:tcW w:w="1247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1 469</w:t>
            </w:r>
          </w:p>
        </w:tc>
        <w:tc>
          <w:tcPr>
            <w:tcW w:w="1304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1 575</w:t>
            </w:r>
          </w:p>
        </w:tc>
        <w:tc>
          <w:tcPr>
            <w:tcW w:w="1191" w:type="dxa"/>
            <w:vAlign w:val="center"/>
          </w:tcPr>
          <w:p w:rsidR="0014487F" w:rsidRDefault="0014487F">
            <w:pPr>
              <w:pStyle w:val="ConsPlusNormal"/>
              <w:jc w:val="center"/>
            </w:pPr>
            <w:r>
              <w:t>1 893</w:t>
            </w:r>
          </w:p>
        </w:tc>
      </w:tr>
    </w:tbl>
    <w:p w:rsidR="0014487F" w:rsidRDefault="0014487F">
      <w:pPr>
        <w:pStyle w:val="ConsPlusNormal"/>
        <w:jc w:val="right"/>
      </w:pPr>
      <w:r>
        <w:t>".</w:t>
      </w: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jc w:val="both"/>
      </w:pPr>
    </w:p>
    <w:p w:rsidR="0014487F" w:rsidRDefault="001448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DB4" w:rsidRDefault="008A3DB4">
      <w:bookmarkStart w:id="1" w:name="_GoBack"/>
      <w:bookmarkEnd w:id="1"/>
    </w:p>
    <w:sectPr w:rsidR="008A3DB4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7F"/>
    <w:rsid w:val="0014487F"/>
    <w:rsid w:val="008A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915C4-906F-4190-AF93-C9075091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4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4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30A0E5C2E1801458397395BF3CAA36400F6501F36E5DCE28DF78452AE8FAC28BB407E12FF60FB417E0EED5BDq0a0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30A0E5C2E1801458397395BF3CAA36400F6501F36E5DCE28DF78452AE8FAC28BB407E12FF60FB417E0EED5BDq0a0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30A0E5C2E1801458397395BF3CAA36400F6501F36E5DCE28DF78452AE8FAC299B45FED2DF311B417F5B884FB575F061CFD68241EF48B6Eq0a4I" TargetMode="External"/><Relationship Id="rId11" Type="http://schemas.openxmlformats.org/officeDocument/2006/relationships/hyperlink" Target="consultantplus://offline/ref=C430A0E5C2E1801458397395BF3CAA36400F6501F36E5DCE28DF78452AE8FAC299B45FED2DF314BC15F5B884FB575F061CFD68241EF48B6Eq0a4I" TargetMode="External"/><Relationship Id="rId5" Type="http://schemas.openxmlformats.org/officeDocument/2006/relationships/hyperlink" Target="consultantplus://offline/ref=C430A0E5C2E1801458397395BF3CAA36400F6501F36E5DCE28DF78452AE8FAC28BB407E12FF60FB417E0EED5BDq0a0I" TargetMode="External"/><Relationship Id="rId10" Type="http://schemas.openxmlformats.org/officeDocument/2006/relationships/hyperlink" Target="consultantplus://offline/ref=C430A0E5C2E1801458397395BF3CAA36400F6501F36E5DCE28DF78452AE8FAC299B45FED2DF317B414F5B884FB575F061CFD68241EF48B6Eq0a4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430A0E5C2E1801458397395BF3CAA36400F6501F36E5DCE28DF78452AE8FAC299B45FED2DF314BC15F5B884FB575F061CFD68241EF48B6Eq0a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Тюрин</dc:creator>
  <cp:keywords/>
  <dc:description/>
  <cp:lastModifiedBy>Максим Тюрин</cp:lastModifiedBy>
  <cp:revision>1</cp:revision>
  <dcterms:created xsi:type="dcterms:W3CDTF">2022-05-25T08:26:00Z</dcterms:created>
  <dcterms:modified xsi:type="dcterms:W3CDTF">2022-05-25T08:26:00Z</dcterms:modified>
</cp:coreProperties>
</file>